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460" w:line="360" w:lineRule="auto"/>
        <w:contextualSpacing w:val="0"/>
      </w:pPr>
      <w:hyperlink r:id="rId5">
        <w:r w:rsidDel="00000000" w:rsidR="00000000" w:rsidRPr="00000000">
          <w:rPr>
            <w:rFonts w:ascii="Georgia" w:cs="Georgia" w:eastAsia="Georgia" w:hAnsi="Georgia"/>
            <w:color w:val="ff0000"/>
            <w:sz w:val="24"/>
            <w:szCs w:val="24"/>
            <w:highlight w:val="white"/>
            <w:rtl w:val="0"/>
          </w:rPr>
          <w:t xml:space="preserve">Zawiadomienie odnośnie swojej umowy można zgłosić</w:t>
        </w:r>
      </w:hyperlink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 za pośrednictwem maila uokik@uokik.gov.pl lub </w:t>
      </w:r>
      <w:hyperlink r:id="rId6">
        <w:r w:rsidDel="00000000" w:rsidR="00000000" w:rsidRPr="00000000">
          <w:rPr>
            <w:rFonts w:ascii="Georgia" w:cs="Georgia" w:eastAsia="Georgia" w:hAnsi="Georgia"/>
            <w:color w:val="ff0000"/>
            <w:sz w:val="24"/>
            <w:szCs w:val="24"/>
            <w:highlight w:val="white"/>
            <w:rtl w:val="0"/>
          </w:rPr>
          <w:t xml:space="preserve">przez ePUAP z profilem zaufanym</w:t>
        </w:r>
      </w:hyperlink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 lub tradycyjną pocztą (list polecony lub jeszcze lepiej polecony z potwierdzeniem odbioru) na adres UOKiK: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highlight w:val="white"/>
          <w:rtl w:val="0"/>
        </w:rPr>
        <w:t xml:space="preserve">Prezes Urzędu Ochrony Konkurencji i Konsumentów</w:t>
        <w:br w:type="textWrapping"/>
        <w:t xml:space="preserve">plac Powstańców Warszawy 1</w:t>
        <w:br w:type="textWrapping"/>
        <w:t xml:space="preserve">00-950 Warszawa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Można także skorzystać z </w:t>
      </w:r>
      <w:hyperlink r:id="rId7">
        <w:r w:rsidDel="00000000" w:rsidR="00000000" w:rsidRPr="00000000">
          <w:rPr>
            <w:rFonts w:ascii="Georgia" w:cs="Georgia" w:eastAsia="Georgia" w:hAnsi="Georgia"/>
            <w:color w:val="ff0000"/>
            <w:sz w:val="24"/>
            <w:szCs w:val="24"/>
            <w:highlight w:val="white"/>
            <w:rtl w:val="0"/>
          </w:rPr>
          <w:t xml:space="preserve">FORMULARZA</w:t>
        </w:r>
      </w:hyperlink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 zamieszczonego na stronie internetowej UOKiK.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Pamiętajcie o dołączeniu załączników (kopia umowy, regulaminu, reklamacji, odpowiedzi banku itp.)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Wysyłając zgłoszenie mailem wpiszcie temat "Zgłoszenie na podst. art. 100 ustawy ookik".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highlight w:val="white"/>
          <w:rtl w:val="0"/>
        </w:rPr>
        <w:t xml:space="preserve">Pamiętajcie o dołączeniu skanu swojej umowy, wraz z regulaminem, jeśli takowy jest częścią umowy.</w:t>
      </w:r>
    </w:p>
    <w:p w:rsidR="00000000" w:rsidDel="00000000" w:rsidP="00000000" w:rsidRDefault="00000000" w:rsidRPr="00000000">
      <w:pPr>
        <w:spacing w:after="460" w:line="360" w:lineRule="auto"/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***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3c4147"/>
          <w:highlight w:val="white"/>
          <w:rtl w:val="0"/>
        </w:rPr>
        <w:t xml:space="preserve">Prezes Urzędu Ochrony Konkurencji i Konsumentów</w:t>
        <w:br w:type="textWrapping"/>
        <w:t xml:space="preserve">plac Powstańców Warszawy 1</w:t>
        <w:br w:type="textWrapping"/>
        <w:t xml:space="preserve">00-950 Warszawa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Szanowny Panie Prezesie.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Zgodnie z informacjami publikowanymi na stronie internetowej UOKiK, 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“Z naruszeniem zbiorowych interesów konsumentów mamy do czynienia wówczas, gdy</w:t>
      </w:r>
      <w:r w:rsidDel="00000000" w:rsidR="00000000" w:rsidRPr="00000000">
        <w:rPr>
          <w:rFonts w:ascii="Verdana" w:cs="Verdana" w:eastAsia="Verdana" w:hAnsi="Verdana"/>
          <w:b w:val="1"/>
          <w:i w:val="1"/>
          <w:highlight w:val="white"/>
          <w:rtl w:val="0"/>
        </w:rPr>
        <w:t xml:space="preserve"> bezprawna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 praktyka przedsiębiorcy dotyka pewnej grupy (np. klientów danego przedsiębiorcy) lub nieograniczonej liczby konsumentów zagrażając interesom każdego konsumenta będącego lub mogącego być potencjalnie kontrahentem przedsiębiorcy – to znaczy potencjalnie każdy może zostać przez nią poszkodowany.”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Jednocześnie 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“art. 24 ust. 2  ustawy o ochronie konkurencji i konsumentów podaje </w:t>
      </w:r>
      <w:r w:rsidDel="00000000" w:rsidR="00000000" w:rsidRPr="00000000">
        <w:rPr>
          <w:rFonts w:ascii="Verdana" w:cs="Verdana" w:eastAsia="Verdana" w:hAnsi="Verdana"/>
          <w:b w:val="1"/>
          <w:i w:val="1"/>
          <w:highlight w:val="white"/>
          <w:rtl w:val="0"/>
        </w:rPr>
        <w:t xml:space="preserve">otwarty katalog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 praktyk naruszających zbiorowe interesy konsumentów”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- o czym również informuje strona internetowa UOKiK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(adres:</w:t>
      </w:r>
      <w:hyperlink r:id="rId8">
        <w:r w:rsidDel="00000000" w:rsidR="00000000" w:rsidRPr="00000000">
          <w:rPr>
            <w:rFonts w:ascii="Verdana" w:cs="Verdana" w:eastAsia="Verdana" w:hAnsi="Verdana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Verdana" w:cs="Verdana" w:eastAsia="Verdana" w:hAnsi="Verdana"/>
            <w:color w:val="1155cc"/>
            <w:highlight w:val="white"/>
            <w:u w:val="single"/>
            <w:rtl w:val="0"/>
          </w:rPr>
          <w:t xml:space="preserve">https://uokik.gov.pl/zbiorowe_interesy_konsumentow.php</w:t>
        </w:r>
      </w:hyperlink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).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Z uwagi na powyższe, na podstawie art. 100 ustawy o ochronie konkurencji i konsumentów zgłaszam niniejszym, że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narusza zbiorowe interesy konsumentów stosując wobec nich bezprawną praktykę polegającą na wykonywaniu umów o kredyt “denominowany” z naruszeniem art. 69 ust. 1 ustawy prawo bankowe.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Uzasadnienie.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Zgodnie z treścią wzorca umowy o kredyt “denominowany w walucie CHF”, na podstawie którego bank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zawarł najprawdopodobniej wiele dziesiątków tysięcy umów kredytowych, kwota udzielonego przez Bank kredytu miała zostać przez Bank w dniu wypłaty przeliczona na walutę PLN wg kursu kupna z tabeli kursowej Banku z dnia wypłaty kredytu, a raty kredytowe, wyrażone w walucie CHF, miały być spłacane wg kursu sprzedaży z tabeli kursowej banku z dnia płatności raty.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[upewnij się, że w Twojej umowie to jest dzień płatności raty a nie na przykład ostatni dzień roboczy przed dniem płatności raty]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Dla przykładu, gdyby w dniu wypłaty udzielonego na 360 rat kredytu denominowanego na kwotę 150tys. CHF kurs kupna waluty CHF ustalony przez bank wynosił 2zł, kurs sprzedaży wynosił 2,1zł, a oprocentowanie kredytu wynosiłoby zero procent (stopa referencyjna LIBOR byłaby ujemna, przy czym wartość bezwzględna stopy referencyjnej byłaby równa marży przyjętej przez bank w umowie)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 i gdyby przyjąć, że zarówno stopa referencyjna, jak i kursy walut z tabeli banku nie ulegają już zmianom przez cały okres spłaty kredytu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, to bank wypłaciłby kredyt w wysokości 300tys. zł, kapitał do spłaty wyrażony w walucie CHF wyniósłby 150tys. CHF, a kredytobiorca dokonałby spłaty 360 rat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kapitałowych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w wysokości 150000/360=416,67CHF=875zł (rata odsetkowa wynosiłaby zero, jako że przyjmujemy zerową stopę procentową kredytu).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Jak nietrudno zauważyć, 875zł*360=315tys.zł a więc pomimo przyjętej zerowej stopy procentowej kredytu oraz pomimo przyjętej niezmienności kursów waluty denominacji z dnia wypłaty kredytu, kredytobiorca na mocy umowy zwróciłby do banku kwotę nie 300tys. zł (kwota wykorzystanego kredytu), którą od banku otrzymał, ale 315tys. zł czyli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o 15tys. zł więcej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, niż kwota wykorzystanego kredytu, przy czym ten dodatkowy koszt kredytu nie stanowiłby odsetek od udzielonego kredytu, a wynikałby jedynie ze spreadu walutowego (różnicy między kursem sprzedaży a kursem kupna) narzuconego kredytobiorcy przez bank w tabeli kursowej banku.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Powyższy przykład świadczy o tym, że konstrukcja umowy o kredyt denominowany, gdzie bank ustala kwotę wypłaty kredytu wg swojego kursu kupna, a kwotę do spłaty wg swojego kursu sprzedaży (przy czym zawsze kurs sprzedaży jest większy niż kurs kupna), jest sprzeczna z art. 69 ust. 1 ustawy prawo bankowe, który stanowi, że:</w:t>
      </w:r>
    </w:p>
    <w:p w:rsidR="00000000" w:rsidDel="00000000" w:rsidP="00000000" w:rsidRDefault="00000000" w:rsidRPr="00000000">
      <w:pPr>
        <w:spacing w:after="460" w:line="331.2" w:lineRule="auto"/>
        <w:ind w:firstLine="72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“Przez umowę kredytu bank zobowiązuje się oddać do dyspozycji kredytobiorcy na czas oznaczony w umowie kwotę środków pieniężnych z przeznaczeniem na ustalony cel, a kredytobiorca zobowiązuje się do korzystania z niej na warunkach określonych w umowie, </w:t>
      </w:r>
      <w:r w:rsidDel="00000000" w:rsidR="00000000" w:rsidRPr="00000000">
        <w:rPr>
          <w:rFonts w:ascii="Verdana" w:cs="Verdana" w:eastAsia="Verdana" w:hAnsi="Verdana"/>
          <w:b w:val="1"/>
          <w:i w:val="1"/>
          <w:highlight w:val="white"/>
          <w:rtl w:val="0"/>
        </w:rPr>
        <w:t xml:space="preserve">zwrotu kwoty wykorzystanego kredytu wraz z odsetkami w oznaczonych terminach spłaty oraz zapłaty prowizji od udzielonego kredytu.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”.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 powyższym przykładzie, już od chwili wykorzystania kredytu w kwocie 300tys. zł bank oczekiwałby od kredytobiorcy spłaty kredytu w wysokości 315tys. zł czyli o 15tys. zł większej, niż kwota wykorzystanego kredytu.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Tak więc denominacja w walucie CHF zastosowana w umowach zawieranych wg wzorca stanowiącego przedmiot niniejszego zgłoszenia (skan mojej przykładowej umowy załączam) będzie w analizowanym powyżej przykładzie przyczyną powstania po stronie kredytobiorcy dodatkowego kosztu kredytu w wysokości 15tys. zł, a po stronie banku dodatkowego zysku w wysokości 15tys. zł., a jako że ten dodatkowy koszt kredytu (zysk banku) nie byłby ani odsetkami od udzielonego kredytu, ani prowizją za jego udzielenie, ani nie stanowiłby udostępnionego kapitału, to w mojej ocenie wykazanie istnienia tego dodatkowego kosztu kredytu na powyższym przykładzie jest dowodem na to, że denominacja w walucie CHF zastosowana w takiej umowie jest sprzeczna z art. 69 ust. 1 prawa bankowego, czyli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jest nieważna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na mocy art. 58 §1 kodeksu cywilnego.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To z kolei prowadzi do wniosku, że bank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wykonuje dziś kilkadziesiąt tysięcy umów kredytowych na mocy nieważnych zapisów umownych, co w mojej ocenie stanowi naruszenie przez bank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zbiorowych interesów konsumentów poprzez stosowanie wobec nich bezprawnej praktyki denominacji umownej sprzecznej z art. 69 ust. 1 ustawy prawo bankowe, która prowadzi do ponoszenia przez kredytobiorców dodatkowego kosztu kredytu wynikającego wyłącznie ze spreadu walutowego, a więc kosztu niedopuszczalnego w ustawie prawo bankowe.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 mojej ocenie nie sposób uznać, że wykonywanie przez bank dziesiątków tysięcy identycznych co do wzorca umów kredytowych z wykorzystaniem w nich zapisów nieważnych na mocy art. 58 §1 kodeksu cywilnego nie stanowi naruszenia zbiorowych interesów konsumentów.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Stąd też wnoszę o przeprowadzenie wobec banku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postępowania w sprawie stosowania przez bank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praktyki naruszającej zbiorowe interesy konsumentów - czyli bezprawnej praktyki banku dotykającej pewnej grupy lub nieograniczonej liczby konsumentów (klientów banku) zagrażając interesom każdego konsumenta będącego lub mogącego być potencjalnie kontrahentem banku.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Z poważaniem,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……………………...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[imię, nazwisko, adres zamieszkania, email]</w:t>
      </w:r>
      <w:r w:rsidDel="00000000" w:rsidR="00000000" w:rsidRPr="00000000">
        <w:rPr>
          <w:rtl w:val="0"/>
        </w:rPr>
      </w:r>
    </w:p>
    <w:sectPr>
      <w:headerReference r:id="rId10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Verdana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color w:val="666666"/>
        <w:rtl w:val="0"/>
      </w:rPr>
      <w:t xml:space="preserve">www.odfrankujkredyt.info</w:t>
    </w:r>
    <w:r w:rsidDel="00000000" w:rsidR="00000000" w:rsidRPr="00000000">
      <w:rPr>
        <w:color w:val="666666"/>
        <w:rtl w:val="0"/>
      </w:rPr>
      <w:br w:type="textWrapping"/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hyperlink" Target="https://uokik.gov.pl/zbiorowe_interesy_konsumentow.php" TargetMode="External"/><Relationship Id="rId5" Type="http://schemas.openxmlformats.org/officeDocument/2006/relationships/hyperlink" Target="http://www.odfrankujkredyt.info/?zglos-swoj-bank-do-uokik-art69ust1pb" TargetMode="External"/><Relationship Id="rId6" Type="http://schemas.openxmlformats.org/officeDocument/2006/relationships/hyperlink" Target="https://epuap.gov.pl/wps/portal/E2_OpisUslugi?nazwaOpisu=Skargi%2C+wnioski%2C+zapytania+do+urzedu&amp;idPodmiotu=UOKiK" TargetMode="External"/><Relationship Id="rId7" Type="http://schemas.openxmlformats.org/officeDocument/2006/relationships/hyperlink" Target="https://finanse.uokik.gov.pl/chf/zawiadom-uokik" TargetMode="External"/><Relationship Id="rId8" Type="http://schemas.openxmlformats.org/officeDocument/2006/relationships/hyperlink" Target="https://uokik.gov.pl/zbiorowe_interesy_konsumentow.php" TargetMode="External"/></Relationships>
</file>