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76" w:lineRule="auto"/>
        <w:contextualSpacing w:val="0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……………………………………</w:t>
        <w:br w:type="textWrapping"/>
        <w:t xml:space="preserve">[miejscowość, dnia]</w:t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Prezes Sądu Apelacyjnego w Szczecinie</w:t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email: </w:t>
      </w:r>
      <w:hyperlink r:id="rId5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sekretariat@szczecin.sa.gov.pl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  <w:rtl w:val="0"/>
        </w:rPr>
        <w:t xml:space="preserve">do wiadomości otrzymuje:</w:t>
        <w:br w:type="textWrapping"/>
        <w:t xml:space="preserve">Minister Sprawiedliwości</w:t>
        <w:br w:type="textWrapping"/>
        <w:t xml:space="preserve">email: </w:t>
      </w:r>
      <w:hyperlink r:id="rId6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0"/>
            <w:szCs w:val="20"/>
            <w:highlight w:val="white"/>
            <w:u w:val="single"/>
            <w:rtl w:val="0"/>
          </w:rPr>
          <w:t xml:space="preserve">bm@ms.gov.pl</w:t>
        </w:r>
      </w:hyperlink>
      <w:r w:rsidDel="00000000" w:rsidR="00000000" w:rsidRPr="00000000">
        <w:rPr>
          <w:rFonts w:ascii="Verdana" w:cs="Verdana" w:eastAsia="Verdana" w:hAnsi="Verdana"/>
          <w:b w:val="1"/>
          <w:color w:val="525252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ind w:left="2160" w:firstLine="0"/>
        <w:contextualSpacing w:val="0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 związku z wyrokiem Sądu Apelacyjnego w Szczecinie sygn. akt I ACa 263/17 z dnia  2 sierpnia 2017 roku, niniejszym, na podstawie art. 63 Konstytucji Rzeczypospolitej Polskiej z dnia 2 kwietnia 1997r., w trybie określonym w Ustawie z dnia 11 lipca 2014r. o petycjach (Dz.U. 2014 poz. 1195) korzystając z przysługującego mi konstytucyjnego prawa do zgłaszania petycji do organów władzy publicznej, wnoszę w interesie publicznym petycję do Prezesa Sądu Apelacyjnego w Szczecinie o: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niezwłoczne (czasowe) odsunięcie Sędziów Sądu Apelacyjnego w Szczecinie:</w:t>
        <w:br w:type="textWrapping"/>
        <w:br w:type="textWrapping"/>
        <w:t xml:space="preserve">SSA Agnieszka Sołtyka</w:t>
        <w:tab/>
        <w:br w:type="textWrapping"/>
        <w:t xml:space="preserve">SSA Edyta Buczkowska-Żuk</w:t>
        <w:br w:type="textWrapping"/>
        <w:t xml:space="preserve">SSA Halina Zarzeczna</w:t>
        <w:br w:type="textWrapping"/>
        <w:br w:type="textWrapping"/>
        <w:t xml:space="preserve">od orzekania we wszelkich sprawach, w których wymagane jest od Sądu dokonanie kontroli incydentalnej - pod względem ewentualnej abuzywności określonych postanowień umownych - umowy zawartej pomiędzy przedsiębiorcą, a konsumentem, przy czym wnoszę o odsunięcie w/w Sędziów od orzekania w w/w zakresie do czasu uzupełnienia przez w/w Sędziów wiedzy, aby w/w Sędziowie zyskali faktyczne umiejętności do orzekania o abuzywności postanowień umownych w sposób zgodny z prawem polskim oraz unijnym, ponieważ w mojej ocenie na chwilę obecną takowych umiejętności w/w Sędziowie nie posiadają.</w:t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niezwłoczne zapoznanie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wszystkich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Sędziów Sądu Apelacyjnego w Szczecinie z treścią </w:t>
      </w:r>
      <w:r w:rsidDel="00000000" w:rsidR="00000000" w:rsidRPr="00000000">
        <w:rPr>
          <w:rFonts w:ascii="Verdana" w:cs="Verdana" w:eastAsia="Verdana" w:hAnsi="Verdana"/>
          <w:b w:val="1"/>
          <w:color w:val="444444"/>
          <w:sz w:val="20"/>
          <w:szCs w:val="20"/>
          <w:highlight w:val="white"/>
          <w:rtl w:val="0"/>
        </w:rPr>
        <w:t xml:space="preserve">Sprostowania do dyrektywy Rady 93/13/EWG z dnia 5 kwietnia 1993 r. w sprawie nieuczciwych warunków w umowach konsumenckich</w:t>
      </w: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 dostępną pod</w:t>
      </w:r>
      <w:r w:rsidDel="00000000" w:rsidR="00000000" w:rsidRPr="00000000">
        <w:rPr>
          <w:rFonts w:ascii="Verdana" w:cs="Verdana" w:eastAsia="Verdana" w:hAnsi="Verdana"/>
          <w:b w:val="1"/>
          <w:color w:val="44444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adresem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http://eur-lex.europa.eu/legal-content/EN/TXT/?uri=CELEX%3A31993L0013R%2803%29</w:t>
        </w:r>
      </w:hyperlink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 oraz z treścią strony internetowej Urzędu Ochrony Konkurencji i Konsumentów pod adresem: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highlight w:val="white"/>
            <w:u w:val="single"/>
            <w:rtl w:val="0"/>
          </w:rPr>
          <w:t xml:space="preserve">https://finanse.uokik.gov.pl/chf/kalendarium/sprostowanie-dyrektywy-w-sprawie-nieuczciwych-warunkow-w-umowach-konsumenckich</w:t>
        </w:r>
      </w:hyperlink>
      <w:r w:rsidDel="00000000" w:rsidR="00000000" w:rsidRPr="00000000">
        <w:rPr>
          <w:rFonts w:ascii="Verdana" w:cs="Verdana" w:eastAsia="Verdana" w:hAnsi="Verdana"/>
          <w:color w:val="444444"/>
          <w:sz w:val="20"/>
          <w:szCs w:val="20"/>
          <w:highlight w:val="white"/>
          <w:rtl w:val="0"/>
        </w:rPr>
        <w:t xml:space="preserve"> gdzie Sędziowie Sądu Apelacyjnego w Szczecinie będą się mogli dowiedzieć, że:</w:t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b w:val="1"/>
          <w:color w:val="666666"/>
          <w:sz w:val="20"/>
          <w:szCs w:val="20"/>
          <w:highlight w:val="white"/>
          <w:rtl w:val="0"/>
        </w:rPr>
        <w:t xml:space="preserve">Konsument nie musi udowadniać nieprawidłowego sposobu wykonania umowy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white"/>
          <w:rtl w:val="0"/>
        </w:rPr>
        <w:t xml:space="preserve"> dla wykazania spełnienia przesłanek określonych w art. 3851 § 1 Kodeksu cywilnego. </w:t>
      </w:r>
      <w:r w:rsidDel="00000000" w:rsidR="00000000" w:rsidRPr="00000000">
        <w:rPr>
          <w:rFonts w:ascii="Verdana" w:cs="Verdana" w:eastAsia="Verdana" w:hAnsi="Verdana"/>
          <w:b w:val="1"/>
          <w:color w:val="666666"/>
          <w:sz w:val="20"/>
          <w:szCs w:val="20"/>
          <w:highlight w:val="white"/>
          <w:rtl w:val="0"/>
        </w:rPr>
        <w:t xml:space="preserve">Niedozwolony charakter klauzuli umownej należy ocenić z uwzględnieniem okoliczności z momentu zawarcia umowy i 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0"/>
          <w:szCs w:val="20"/>
          <w:highlight w:val="white"/>
          <w:rtl w:val="0"/>
        </w:rPr>
        <w:t xml:space="preserve">bez znaczenia - dla stwierdzenia abuzywności - pozostaje to, w jaki sposób przedsiębiorca wykonywał umowę w oparciu o kwestionowane postanowienie umowne.</w:t>
      </w:r>
      <w:r w:rsidDel="00000000" w:rsidR="00000000" w:rsidRPr="00000000">
        <w:rPr>
          <w:rFonts w:ascii="Verdana" w:cs="Verdana" w:eastAsia="Verdana" w:hAnsi="Verdana"/>
          <w:b w:val="1"/>
          <w:color w:val="666666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white"/>
          <w:rtl w:val="0"/>
        </w:rPr>
        <w:t xml:space="preserve">Klauzula jest abuzywna z mocy samego prawa (</w:t>
      </w:r>
      <w:r w:rsidDel="00000000" w:rsidR="00000000" w:rsidRPr="00000000">
        <w:rPr>
          <w:rFonts w:ascii="Verdana" w:cs="Verdana" w:eastAsia="Verdana" w:hAnsi="Verdana"/>
          <w:i w:val="1"/>
          <w:color w:val="666666"/>
          <w:sz w:val="20"/>
          <w:szCs w:val="20"/>
          <w:highlight w:val="white"/>
          <w:rtl w:val="0"/>
        </w:rPr>
        <w:t xml:space="preserve">ex lege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white"/>
          <w:rtl w:val="0"/>
        </w:rPr>
        <w:t xml:space="preserve">) i z chwilą zamieszczenia jej we wzorcu, a nie z momentem potwierdzenia jej abuzywności przez uprawniony organ (</w:t>
      </w:r>
      <w:r w:rsidDel="00000000" w:rsidR="00000000" w:rsidRPr="00000000">
        <w:rPr>
          <w:rFonts w:ascii="Verdana" w:cs="Verdana" w:eastAsia="Verdana" w:hAnsi="Verdana"/>
          <w:i w:val="1"/>
          <w:color w:val="666666"/>
          <w:sz w:val="20"/>
          <w:szCs w:val="20"/>
          <w:highlight w:val="white"/>
          <w:rtl w:val="0"/>
        </w:rPr>
        <w:t xml:space="preserve">ex tunc</w:t>
      </w:r>
      <w:r w:rsidDel="00000000" w:rsidR="00000000" w:rsidRPr="00000000">
        <w:rPr>
          <w:rFonts w:ascii="Verdana" w:cs="Verdana" w:eastAsia="Verdana" w:hAnsi="Verdana"/>
          <w:color w:val="666666"/>
          <w:sz w:val="20"/>
          <w:szCs w:val="20"/>
          <w:highlight w:val="white"/>
          <w:rtl w:val="0"/>
        </w:rPr>
        <w:t xml:space="preserve">).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Uzasadnienie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W wyroku sygn. akt I ACa 263/17 z dnia  2 sierpnia 2017 roku Sąd Apelacyjny w Szczecinie w składzie powyżej wymienionym dokonał niezgodnej z obowiązującym prawem oceny abuzywności postanowień umowy o kredyt, zawartej między powodami, a pozwanym bankiem, ponieważ ocena abuzywności postanowień umowy kredytowej odwołującej się do kursów kupna i sprzedaży waluty obcej wg tabeli kursowej banku (czyli ustalanych przez pozwany bank w sposób dowolny i nieznany kredytobiorcom) została dokonana w oparciu o sposób wykonywania tej umowy kredytowej przez pozwany bank (zamiast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wyłącznie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w oparciu o stan z dnia zawarcia umowy), co jest prawnie niedopuszczalne. Brak umiejętności w/w składu sędziowskiego w zakresie oceny abuzywności postanowień umownych doprowadził w konsekwencji do wydania przez Sąd Apelacyjny w Szczecinie wyroku sprzecznego z obowiązującym prawem - niestety w tej sytuacji prawomocnego wyroku sprzecznego z prawem, wydanego w imieniu Rzeczypospolitej Polskiej, co w mojej ocenie dostatecznie uzasadnia ważny interes publiczny, którym kieruję się składając na ręce Prezesa Sądu Apelacyjnego w Szczecinie niniejszą petycję.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Najwyraźniej Sąd w w/w składzie nie wiedział, bądź nie rozumiał (brak wiedzy do uzupełnienia odpowiednimi szkoleniami), że abuzywność, to inaczej jedynie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MOŻLIWOŚĆ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(nadana sobie samemu przez przedsiębiorcę) wykonywania umowy zawartej z konsumentem w sposób sprzeczny z dobrymi obyczajami oraz w sposób rażąco naruszający interesy konsumenta. 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Stąd też niniejsza petycja jest w pełni zasadna, albowiem pilne czasowe odsunięcie sędziów wymienionych w punkcie pierwszym niniejszej petycji od orzekania w sprawach wymagających przeprowadzenia przez sąd kontroli incydentalnej umowy pod względem abuzywności oraz pilne zapoznanie wszystkich sędziów Sądu Apelacyjnego w Szczecinie z wymienionymi w punkcie 2 petycji materiałami z pewnością pozwoli w przyszłości uniknąć wydawania przez Sąd Apelacyjny w Szczecinie podobnie kontrowersyjnych orzeczeń.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Uprzejmie przypominam, iż zgodnie z art. 8 ust. 1 ustawy z dnia 11 lipca 2014 r. o petycjach, niniejsza petycja podlega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niezwłocznie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opublikowaniu na stronie internetowej Sądu Apelacyjnego w Szczecinie.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Niniejszym oświadczam, iż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nie wyrażam zgody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na publikację moich danych osobowych.</w:t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0" w:val="none"/>
          <w:left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……………………………….</w:t>
        <w:br w:type="textWrapping"/>
        <w:t xml:space="preserve">[imię, nazwisko, adres zamieszkania]</w:t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/>
    </w:pPr>
    <w:r w:rsidDel="00000000" w:rsidR="00000000" w:rsidRPr="00000000">
      <w:rPr>
        <w:rFonts w:ascii="Verdana" w:cs="Verdana" w:eastAsia="Verdana" w:hAnsi="Verdan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hyperlink" Target="mailto:sekretariat@szczecin.sa.gov.pl" TargetMode="External"/><Relationship Id="rId6" Type="http://schemas.openxmlformats.org/officeDocument/2006/relationships/hyperlink" Target="mailto:bm@ms.gov.pl" TargetMode="External"/><Relationship Id="rId7" Type="http://schemas.openxmlformats.org/officeDocument/2006/relationships/hyperlink" Target="http://eur-lex.europa.eu/legal-content/EN/TXT/?uri=CELEX%3A31993L0013R%2803%29" TargetMode="External"/><Relationship Id="rId8" Type="http://schemas.openxmlformats.org/officeDocument/2006/relationships/hyperlink" Target="https://finanse.uokik.gov.pl/chf/kalendarium/sprostowanie-dyrektywy-w-sprawie-nieuczciwych-warunkow-w-umowach-konsumenckich" TargetMode="External"/></Relationships>
</file>