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0801" w:rsidRDefault="00117392">
      <w:pPr>
        <w:jc w:val="right"/>
      </w:pPr>
      <w:r>
        <w:rPr>
          <w:rFonts w:ascii="Georgia" w:eastAsia="Georgia" w:hAnsi="Georgia" w:cs="Georgia"/>
          <w:sz w:val="20"/>
          <w:szCs w:val="20"/>
          <w:highlight w:val="white"/>
        </w:rPr>
        <w:t xml:space="preserve"> …………………………………………………………………...</w:t>
      </w:r>
    </w:p>
    <w:p w:rsidR="00CA0801" w:rsidRDefault="00117392">
      <w:pPr>
        <w:jc w:val="right"/>
      </w:pPr>
      <w:r>
        <w:rPr>
          <w:sz w:val="20"/>
          <w:szCs w:val="20"/>
          <w:highlight w:val="white"/>
        </w:rPr>
        <w:t>[miejscowość, data]</w:t>
      </w:r>
    </w:p>
    <w:p w:rsidR="00CA0801" w:rsidRDefault="00CA0801"/>
    <w:p w:rsidR="00CA0801" w:rsidRDefault="00117392">
      <w:r>
        <w:rPr>
          <w:rFonts w:ascii="Georgia" w:eastAsia="Georgia" w:hAnsi="Georgia" w:cs="Georgia"/>
          <w:b/>
          <w:sz w:val="20"/>
          <w:szCs w:val="20"/>
          <w:highlight w:val="white"/>
        </w:rPr>
        <w:t xml:space="preserve">Do: Prezes Sądu Okręgowego </w:t>
      </w:r>
      <w:r w:rsidR="00456534" w:rsidRPr="00456534">
        <w:rPr>
          <w:rFonts w:ascii="Georgia" w:eastAsia="Georgia" w:hAnsi="Georgia" w:cs="Georgia"/>
          <w:b/>
          <w:sz w:val="20"/>
          <w:szCs w:val="20"/>
        </w:rPr>
        <w:t xml:space="preserve">SSO Beata Janusz  </w:t>
      </w:r>
    </w:p>
    <w:p w:rsidR="00CA0801" w:rsidRDefault="00865F33">
      <w:r>
        <w:rPr>
          <w:rFonts w:ascii="Georgia" w:eastAsia="Georgia" w:hAnsi="Georgia" w:cs="Georgia"/>
          <w:b/>
          <w:sz w:val="20"/>
          <w:szCs w:val="20"/>
          <w:highlight w:val="white"/>
        </w:rPr>
        <w:t xml:space="preserve">Sąd Okręgowy </w:t>
      </w:r>
      <w:r>
        <w:rPr>
          <w:rFonts w:ascii="Georgia" w:eastAsia="Georgia" w:hAnsi="Georgia" w:cs="Georgia"/>
          <w:b/>
          <w:sz w:val="20"/>
          <w:szCs w:val="20"/>
        </w:rPr>
        <w:t>Warszawa-Praga w Warszawie</w:t>
      </w:r>
    </w:p>
    <w:p w:rsidR="00CA0801" w:rsidRPr="00456534" w:rsidRDefault="00117392">
      <w:pPr>
        <w:rPr>
          <w:rFonts w:ascii="Georgia" w:eastAsia="Georgia" w:hAnsi="Georgia" w:cs="Georgia"/>
          <w:b/>
          <w:sz w:val="20"/>
          <w:szCs w:val="20"/>
          <w:highlight w:val="white"/>
        </w:rPr>
      </w:pPr>
      <w:r>
        <w:rPr>
          <w:rFonts w:ascii="Georgia" w:eastAsia="Georgia" w:hAnsi="Georgia" w:cs="Georgia"/>
          <w:b/>
          <w:sz w:val="20"/>
          <w:szCs w:val="20"/>
          <w:highlight w:val="white"/>
        </w:rPr>
        <w:t>email:</w:t>
      </w:r>
      <w:r>
        <w:rPr>
          <w:rFonts w:ascii="Georgia" w:eastAsia="Georgia" w:hAnsi="Georgia" w:cs="Georgia"/>
          <w:sz w:val="20"/>
          <w:szCs w:val="20"/>
          <w:highlight w:val="white"/>
        </w:rPr>
        <w:t xml:space="preserve">  </w:t>
      </w:r>
      <w:r w:rsidR="00456534" w:rsidRPr="00456534">
        <w:rPr>
          <w:rFonts w:ascii="Georgia" w:eastAsia="Georgia" w:hAnsi="Georgia" w:cs="Georgia"/>
          <w:b/>
          <w:sz w:val="20"/>
          <w:szCs w:val="20"/>
          <w:highlight w:val="white"/>
        </w:rPr>
        <w:t>kontakt@warszawapraga.so.gov.pl</w:t>
      </w:r>
    </w:p>
    <w:p w:rsidR="00CA0801" w:rsidRDefault="00CA0801"/>
    <w:p w:rsidR="00CA0801" w:rsidRDefault="00117392">
      <w:r>
        <w:rPr>
          <w:rFonts w:ascii="Georgia" w:eastAsia="Georgia" w:hAnsi="Georgia" w:cs="Georgia"/>
          <w:b/>
          <w:sz w:val="20"/>
          <w:szCs w:val="20"/>
          <w:highlight w:val="white"/>
        </w:rPr>
        <w:t>do wiadomości:</w:t>
      </w:r>
      <w:r>
        <w:rPr>
          <w:rFonts w:ascii="Georgia" w:eastAsia="Georgia" w:hAnsi="Georgia" w:cs="Georgia"/>
          <w:sz w:val="20"/>
          <w:szCs w:val="20"/>
          <w:highlight w:val="white"/>
        </w:rPr>
        <w:t xml:space="preserve">  </w:t>
      </w:r>
    </w:p>
    <w:p w:rsidR="00CA0801" w:rsidRDefault="00117392">
      <w:r>
        <w:rPr>
          <w:rFonts w:ascii="Georgia" w:eastAsia="Georgia" w:hAnsi="Georgia" w:cs="Georgia"/>
          <w:sz w:val="20"/>
          <w:szCs w:val="20"/>
          <w:highlight w:val="white"/>
        </w:rPr>
        <w:t xml:space="preserve">Minister Sprawiedliwości: </w:t>
      </w:r>
      <w:r>
        <w:rPr>
          <w:rFonts w:ascii="Georgia" w:eastAsia="Georgia" w:hAnsi="Georgia" w:cs="Georgia"/>
          <w:b/>
          <w:sz w:val="20"/>
          <w:szCs w:val="20"/>
          <w:highlight w:val="white"/>
        </w:rPr>
        <w:t xml:space="preserve">wnioski@ms.gov.pl     </w:t>
      </w:r>
    </w:p>
    <w:p w:rsidR="00CA0801" w:rsidRDefault="00117392">
      <w:r>
        <w:rPr>
          <w:rFonts w:ascii="Georgia" w:eastAsia="Georgia" w:hAnsi="Georgia" w:cs="Georgia"/>
          <w:sz w:val="20"/>
          <w:szCs w:val="20"/>
          <w:highlight w:val="white"/>
        </w:rPr>
        <w:t xml:space="preserve">Krajowa Szkoła Sądownictwa i Prokuratury: </w:t>
      </w:r>
      <w:r>
        <w:rPr>
          <w:rFonts w:ascii="Georgia" w:eastAsia="Georgia" w:hAnsi="Georgia" w:cs="Georgia"/>
          <w:b/>
          <w:sz w:val="20"/>
          <w:szCs w:val="20"/>
          <w:highlight w:val="white"/>
        </w:rPr>
        <w:t>sekretariat@kssip.gov.pl</w:t>
      </w:r>
      <w:r>
        <w:rPr>
          <w:rFonts w:ascii="Georgia" w:eastAsia="Georgia" w:hAnsi="Georgia" w:cs="Georgia"/>
          <w:sz w:val="20"/>
          <w:szCs w:val="20"/>
          <w:highlight w:val="white"/>
        </w:rPr>
        <w:t xml:space="preserve"> </w:t>
      </w:r>
    </w:p>
    <w:p w:rsidR="00CA0801" w:rsidRDefault="00CA0801"/>
    <w:p w:rsidR="00CA0801" w:rsidRDefault="00117392">
      <w:pPr>
        <w:jc w:val="center"/>
      </w:pPr>
      <w:r>
        <w:rPr>
          <w:rFonts w:ascii="Georgia" w:eastAsia="Georgia" w:hAnsi="Georgia" w:cs="Georgia"/>
          <w:b/>
          <w:sz w:val="20"/>
          <w:szCs w:val="20"/>
          <w:highlight w:val="white"/>
        </w:rPr>
        <w:t>Petycja</w:t>
      </w:r>
    </w:p>
    <w:p w:rsidR="00CA0801" w:rsidRDefault="00117392">
      <w:pPr>
        <w:jc w:val="center"/>
      </w:pPr>
      <w:r>
        <w:rPr>
          <w:rFonts w:ascii="Georgia" w:eastAsia="Georgia" w:hAnsi="Georgia" w:cs="Georgia"/>
          <w:b/>
          <w:sz w:val="20"/>
          <w:szCs w:val="20"/>
          <w:highlight w:val="white"/>
        </w:rPr>
        <w:t>o udostępnienie materiałów informacyjnych</w:t>
      </w:r>
    </w:p>
    <w:p w:rsidR="00CA0801" w:rsidRDefault="00117392">
      <w:pPr>
        <w:jc w:val="center"/>
      </w:pPr>
      <w:r>
        <w:rPr>
          <w:rFonts w:ascii="Georgia" w:eastAsia="Georgia" w:hAnsi="Georgia" w:cs="Georgia"/>
          <w:b/>
          <w:sz w:val="20"/>
          <w:szCs w:val="20"/>
          <w:highlight w:val="white"/>
        </w:rPr>
        <w:t xml:space="preserve">sędziom Sądu Okręgowego </w:t>
      </w:r>
      <w:r w:rsidR="00865F33">
        <w:rPr>
          <w:rFonts w:ascii="Georgia" w:eastAsia="Georgia" w:hAnsi="Georgia" w:cs="Georgia"/>
          <w:b/>
          <w:sz w:val="20"/>
          <w:szCs w:val="20"/>
          <w:highlight w:val="white"/>
        </w:rPr>
        <w:t xml:space="preserve">Warszawa-Praga </w:t>
      </w:r>
      <w:r>
        <w:rPr>
          <w:rFonts w:ascii="Georgia" w:eastAsia="Georgia" w:hAnsi="Georgia" w:cs="Georgia"/>
          <w:b/>
          <w:sz w:val="20"/>
          <w:szCs w:val="20"/>
          <w:highlight w:val="white"/>
        </w:rPr>
        <w:t xml:space="preserve">w </w:t>
      </w:r>
      <w:r w:rsidR="00865F33">
        <w:rPr>
          <w:rFonts w:ascii="Georgia" w:eastAsia="Georgia" w:hAnsi="Georgia" w:cs="Georgia"/>
          <w:b/>
          <w:sz w:val="20"/>
          <w:szCs w:val="20"/>
          <w:highlight w:val="white"/>
        </w:rPr>
        <w:t>Warszawie</w:t>
      </w:r>
      <w:r>
        <w:rPr>
          <w:rFonts w:ascii="Georgia" w:eastAsia="Georgia" w:hAnsi="Georgia" w:cs="Georgia"/>
          <w:b/>
          <w:sz w:val="20"/>
          <w:szCs w:val="20"/>
          <w:highlight w:val="white"/>
        </w:rPr>
        <w:t xml:space="preserve"> </w:t>
      </w:r>
    </w:p>
    <w:p w:rsidR="00CA0801" w:rsidRDefault="00117392">
      <w:pPr>
        <w:jc w:val="center"/>
      </w:pPr>
      <w:r>
        <w:rPr>
          <w:rFonts w:ascii="Georgia" w:eastAsia="Georgia" w:hAnsi="Georgia" w:cs="Georgia"/>
          <w:b/>
          <w:sz w:val="20"/>
          <w:szCs w:val="20"/>
          <w:highlight w:val="white"/>
        </w:rPr>
        <w:t xml:space="preserve">oraz sędziom </w:t>
      </w:r>
    </w:p>
    <w:p w:rsidR="00CA0801" w:rsidRDefault="00117392">
      <w:pPr>
        <w:jc w:val="center"/>
      </w:pPr>
      <w:r>
        <w:rPr>
          <w:rFonts w:ascii="Georgia" w:eastAsia="Georgia" w:hAnsi="Georgia" w:cs="Georgia"/>
          <w:b/>
          <w:sz w:val="20"/>
          <w:szCs w:val="20"/>
          <w:highlight w:val="white"/>
        </w:rPr>
        <w:t>podległych Sądowi Okręgowemu Sądów Rejonowych.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Szanowna Pani Prezes,</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Na podstawie art. 63 Konstytucji Rzeczypospolitej Polskiej z dnia 2 kwietnia 1997r., w trybie określonym w Ustawie z dnia 11 lipca 2014r. o petycjach (Dz.U. 2014 poz. 1195) korzystając z przysługującego mi, konstytucyjnego prawa do zgłaszania petycji do organów władzy publicznej, niniejszym pismem wnoszę w interesie publicznym petycję o udostępnienie sędziom Sądu Okręgowego </w:t>
      </w:r>
      <w:r w:rsidR="00CF7532">
        <w:rPr>
          <w:rFonts w:ascii="Georgia" w:eastAsia="Georgia" w:hAnsi="Georgia" w:cs="Georgia"/>
          <w:sz w:val="20"/>
          <w:szCs w:val="20"/>
          <w:highlight w:val="white"/>
        </w:rPr>
        <w:t xml:space="preserve">Warszawa-Praga </w:t>
      </w:r>
      <w:r>
        <w:rPr>
          <w:rFonts w:ascii="Georgia" w:eastAsia="Georgia" w:hAnsi="Georgia" w:cs="Georgia"/>
          <w:sz w:val="20"/>
          <w:szCs w:val="20"/>
          <w:highlight w:val="white"/>
        </w:rPr>
        <w:t xml:space="preserve">w </w:t>
      </w:r>
      <w:r w:rsidR="00CF7532" w:rsidRPr="00CF7532">
        <w:rPr>
          <w:rFonts w:ascii="Georgia" w:eastAsia="Georgia" w:hAnsi="Georgia" w:cs="Georgia"/>
          <w:sz w:val="20"/>
          <w:szCs w:val="20"/>
          <w:highlight w:val="white"/>
        </w:rPr>
        <w:t>Warszawie</w:t>
      </w:r>
      <w:r>
        <w:rPr>
          <w:rFonts w:ascii="Georgia" w:eastAsia="Georgia" w:hAnsi="Georgia" w:cs="Georgia"/>
          <w:sz w:val="20"/>
          <w:szCs w:val="20"/>
          <w:highlight w:val="white"/>
        </w:rPr>
        <w:t xml:space="preserve"> oraz sędziom podległych Sądowi Okręgowemu Sądów Rejonowych materiałów informacyjnych dotyczących tematyki kredytów “walutowych”.</w:t>
      </w:r>
    </w:p>
    <w:p w:rsidR="00CA0801" w:rsidRDefault="00CA0801"/>
    <w:p w:rsidR="00CA0801" w:rsidRDefault="00117392">
      <w:r>
        <w:rPr>
          <w:rFonts w:ascii="Georgia" w:eastAsia="Georgia" w:hAnsi="Georgia" w:cs="Georgia"/>
          <w:b/>
          <w:sz w:val="20"/>
          <w:szCs w:val="20"/>
          <w:highlight w:val="white"/>
        </w:rPr>
        <w:t>Uzasadnienie.</w:t>
      </w:r>
    </w:p>
    <w:p w:rsidR="00CA0801" w:rsidRDefault="00CA0801"/>
    <w:p w:rsidR="00CA0801" w:rsidRDefault="00117392">
      <w:r>
        <w:rPr>
          <w:rFonts w:ascii="Georgia" w:eastAsia="Georgia" w:hAnsi="Georgia" w:cs="Georgia"/>
          <w:sz w:val="20"/>
          <w:szCs w:val="20"/>
          <w:highlight w:val="white"/>
        </w:rPr>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w:t>
      </w:r>
      <w:r>
        <w:rPr>
          <w:rFonts w:ascii="Georgia" w:eastAsia="Georgia" w:hAnsi="Georgia" w:cs="Georgia"/>
          <w:i/>
          <w:sz w:val="20"/>
          <w:szCs w:val="20"/>
          <w:highlight w:val="white"/>
        </w:rPr>
        <w:t>dostrzegając doniosłość</w:t>
      </w:r>
      <w:r>
        <w:rPr>
          <w:rFonts w:ascii="Georgia" w:eastAsia="Georgia" w:hAnsi="Georgia" w:cs="Georgia"/>
          <w:sz w:val="20"/>
          <w:szCs w:val="20"/>
          <w:highlight w:val="white"/>
        </w:rPr>
        <w:t>” tego zagadnienia, przyznało, iż przeprowadzenie szkoleń dla sędziów z tej tematyki “</w:t>
      </w:r>
      <w:r>
        <w:rPr>
          <w:rFonts w:ascii="Georgia" w:eastAsia="Georgia" w:hAnsi="Georgia" w:cs="Georgia"/>
          <w:i/>
          <w:sz w:val="20"/>
          <w:szCs w:val="20"/>
          <w:highlight w:val="white"/>
        </w:rPr>
        <w:t>ma charakter istotny</w:t>
      </w:r>
      <w:r>
        <w:rPr>
          <w:rFonts w:ascii="Georgia" w:eastAsia="Georgia" w:hAnsi="Georgia" w:cs="Georgia"/>
          <w:sz w:val="20"/>
          <w:szCs w:val="20"/>
          <w:highlight w:val="white"/>
        </w:rPr>
        <w:t>”.</w:t>
      </w:r>
    </w:p>
    <w:p w:rsidR="00CA0801" w:rsidRDefault="00CA0801"/>
    <w:p w:rsidR="00CA0801" w:rsidRDefault="00117392">
      <w:r>
        <w:rPr>
          <w:rFonts w:ascii="Georgia" w:eastAsia="Georgia" w:hAnsi="Georgia" w:cs="Georgia"/>
          <w:sz w:val="20"/>
          <w:szCs w:val="20"/>
          <w:highlight w:val="white"/>
        </w:rPr>
        <w:t>Niestety szkolenia postulowane w/w petycją zostaną zaplanowane w harmonogramie szkoleń Krajowej Szkoły Sądownictwa i Prokuratury  dopiero na rok 2018, co przy lawinowo narastającej obecnie ilości pozwów w sporach bank ⇔ konsument wydaje się być działaniem dramatycznie wręcz spóźnionym.</w:t>
      </w:r>
    </w:p>
    <w:p w:rsidR="00CA0801" w:rsidRDefault="00CA0801"/>
    <w:p w:rsidR="00CA0801" w:rsidRDefault="00117392">
      <w:r>
        <w:rPr>
          <w:rFonts w:ascii="Georgia" w:eastAsia="Georgia" w:hAnsi="Georgia" w:cs="Georgia"/>
          <w:sz w:val="20"/>
          <w:szCs w:val="20"/>
          <w:highlight w:val="white"/>
        </w:rPr>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CA0801" w:rsidRDefault="00117392">
      <w:r>
        <w:rPr>
          <w:rFonts w:ascii="Georgia" w:eastAsia="Georgia" w:hAnsi="Georgia" w:cs="Georgia"/>
          <w:b/>
          <w:sz w:val="20"/>
          <w:szCs w:val="20"/>
        </w:rPr>
        <w:t xml:space="preserve"> </w:t>
      </w:r>
    </w:p>
    <w:p w:rsidR="00CA0801" w:rsidRDefault="00117392">
      <w:r>
        <w:rPr>
          <w:rFonts w:ascii="Georgia" w:eastAsia="Georgia" w:hAnsi="Georgia" w:cs="Georgia"/>
          <w:sz w:val="20"/>
          <w:szCs w:val="20"/>
        </w:rPr>
        <w:t>Ochrona konsumentów przed postanowieniami abuzywnymi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nienadużywanie pozycji dominującej przez przedsiębiorców (w tym głównie międzynarodowe finansowe korporacje) w stosunkach indywidualnych.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lastRenderedPageBreak/>
        <w:t xml:space="preserve">Systemowe rozwiązanie ochrony konsumenta w stosunkach indywidualnych, oparte na postanowieniach dyrektywy Rady UE 93/13/EWG z dnia 5 kwietnia 1993 r. w sprawie nieuczciwych warunków w umowach konsumenckich, zostało wdrożone do polskiego systemu prawnego nowelą kodeksu cywilnego obowiązującą od 1 lipca 2000 r. (art. 385 (1) k.c. i nast.). Co niezwykle istotne, rozwiązanie to zakłada, że </w:t>
      </w:r>
      <w:r>
        <w:rPr>
          <w:rFonts w:ascii="Georgia" w:eastAsia="Georgia" w:hAnsi="Georgia" w:cs="Georgia"/>
          <w:sz w:val="20"/>
          <w:szCs w:val="20"/>
          <w:u w:val="single"/>
        </w:rPr>
        <w:t>sądy z urzędu</w:t>
      </w:r>
      <w:r>
        <w:rPr>
          <w:rFonts w:ascii="Georgia" w:eastAsia="Georgia" w:hAnsi="Georgia" w:cs="Georgia"/>
          <w:sz w:val="20"/>
          <w:szCs w:val="20"/>
        </w:rPr>
        <w:t xml:space="preserve"> badają abuzywność klauzul stosowanych przez przedsiębiorców i stosują sankcję w postaci bezskuteczności postanowienia, a nawet nieważności całej umowy.</w:t>
      </w:r>
    </w:p>
    <w:p w:rsidR="00CA0801" w:rsidRDefault="00CA0801"/>
    <w:p w:rsidR="00CA0801" w:rsidRDefault="00117392">
      <w:r>
        <w:rPr>
          <w:rFonts w:ascii="Georgia" w:eastAsia="Georgia" w:hAnsi="Georgia" w:cs="Georgia"/>
          <w:sz w:val="20"/>
          <w:szCs w:val="20"/>
        </w:rPr>
        <w:t>Jak wielokrotnie określa to Europejski Trybunał Sprawiedliwości: "</w:t>
      </w:r>
      <w:r>
        <w:rPr>
          <w:rFonts w:ascii="Georgia" w:eastAsia="Georgia" w:hAnsi="Georgia" w:cs="Georgia"/>
          <w:i/>
          <w:sz w:val="20"/>
          <w:szCs w:val="20"/>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Pr>
          <w:rFonts w:ascii="Georgia" w:eastAsia="Georgia" w:hAnsi="Georgia" w:cs="Georgia"/>
          <w:i/>
          <w:sz w:val="20"/>
          <w:szCs w:val="20"/>
          <w:u w:val="single"/>
        </w:rPr>
        <w:t>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Pr>
          <w:rFonts w:ascii="Georgia" w:eastAsia="Georgia" w:hAnsi="Georgia" w:cs="Georgia"/>
          <w:sz w:val="20"/>
          <w:szCs w:val="20"/>
        </w:rPr>
        <w:t>." (tak wyroki ETS:</w:t>
      </w:r>
      <w:r>
        <w:rPr>
          <w:rFonts w:ascii="Georgia" w:eastAsia="Georgia" w:hAnsi="Georgia" w:cs="Georgia"/>
          <w:color w:val="333333"/>
          <w:sz w:val="20"/>
          <w:szCs w:val="20"/>
        </w:rPr>
        <w:t xml:space="preserve"> </w:t>
      </w:r>
      <w:r w:rsidR="00CF7532">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 z dnia </w:t>
      </w:r>
      <w:r w:rsidR="00CF7532">
        <w:rPr>
          <w:rFonts w:ascii="Georgia" w:eastAsia="Georgia" w:hAnsi="Georgia" w:cs="Georgia"/>
          <w:sz w:val="20"/>
          <w:szCs w:val="20"/>
        </w:rPr>
        <w:t>9 listopada 2010 r. w sprawie C-</w:t>
      </w:r>
      <w:r>
        <w:rPr>
          <w:rFonts w:ascii="Georgia" w:eastAsia="Georgia" w:hAnsi="Georgia" w:cs="Georgia"/>
          <w:sz w:val="20"/>
          <w:szCs w:val="20"/>
        </w:rPr>
        <w:t>137/08 V</w:t>
      </w:r>
      <w:r w:rsidR="00CF7532">
        <w:rPr>
          <w:rFonts w:ascii="Georgia" w:eastAsia="Georgia" w:hAnsi="Georgia" w:cs="Georgia"/>
          <w:sz w:val="20"/>
          <w:szCs w:val="20"/>
        </w:rPr>
        <w:t xml:space="preserve">B </w:t>
      </w:r>
      <w:proofErr w:type="spellStart"/>
      <w:r w:rsidR="00CF7532">
        <w:rPr>
          <w:rFonts w:ascii="Georgia" w:eastAsia="Georgia" w:hAnsi="Georgia" w:cs="Georgia"/>
          <w:sz w:val="20"/>
          <w:szCs w:val="20"/>
        </w:rPr>
        <w:t>Pénzügyi</w:t>
      </w:r>
      <w:proofErr w:type="spellEnd"/>
      <w:r w:rsidR="00CF7532">
        <w:rPr>
          <w:rFonts w:ascii="Georgia" w:eastAsia="Georgia" w:hAnsi="Georgia" w:cs="Georgia"/>
          <w:sz w:val="20"/>
          <w:szCs w:val="20"/>
        </w:rPr>
        <w:t xml:space="preserve"> </w:t>
      </w:r>
      <w:proofErr w:type="spellStart"/>
      <w:r w:rsidR="00CF7532">
        <w:rPr>
          <w:rFonts w:ascii="Georgia" w:eastAsia="Georgia" w:hAnsi="Georgia" w:cs="Georgia"/>
          <w:sz w:val="20"/>
          <w:szCs w:val="20"/>
        </w:rPr>
        <w:t>Lízing</w:t>
      </w:r>
      <w:proofErr w:type="spellEnd"/>
      <w:r w:rsidR="00CF7532">
        <w:rPr>
          <w:rFonts w:ascii="Georgia" w:eastAsia="Georgia" w:hAnsi="Georgia" w:cs="Georgia"/>
          <w:sz w:val="20"/>
          <w:szCs w:val="20"/>
        </w:rPr>
        <w:t xml:space="preserve">, </w:t>
      </w:r>
      <w:proofErr w:type="spellStart"/>
      <w:r w:rsidR="00CF7532">
        <w:rPr>
          <w:rFonts w:ascii="Georgia" w:eastAsia="Georgia" w:hAnsi="Georgia" w:cs="Georgia"/>
          <w:sz w:val="20"/>
          <w:szCs w:val="20"/>
        </w:rPr>
        <w:t>Zb.Orz</w:t>
      </w:r>
      <w:proofErr w:type="spellEnd"/>
      <w:r w:rsidR="00CF7532">
        <w:rPr>
          <w:rFonts w:ascii="Georgia" w:eastAsia="Georgia" w:hAnsi="Georgia" w:cs="Georgia"/>
          <w:sz w:val="20"/>
          <w:szCs w:val="20"/>
        </w:rPr>
        <w:t>. s. I-</w:t>
      </w:r>
      <w:r>
        <w:rPr>
          <w:rFonts w:ascii="Georgia" w:eastAsia="Georgia" w:hAnsi="Georgia" w:cs="Georgia"/>
          <w:sz w:val="20"/>
          <w:szCs w:val="20"/>
        </w:rPr>
        <w:t>10847, pkt 47; z dn</w:t>
      </w:r>
      <w:r w:rsidR="00CF7532">
        <w:rPr>
          <w:rFonts w:ascii="Georgia" w:eastAsia="Georgia" w:hAnsi="Georgia" w:cs="Georgia"/>
          <w:sz w:val="20"/>
          <w:szCs w:val="20"/>
        </w:rPr>
        <w:t>ia 15 marca 2012 r. w sprawie C-</w:t>
      </w:r>
      <w:r>
        <w:rPr>
          <w:rFonts w:ascii="Georgia" w:eastAsia="Georgia" w:hAnsi="Georgia" w:cs="Georgia"/>
          <w:sz w:val="20"/>
          <w:szCs w:val="20"/>
        </w:rPr>
        <w:t xml:space="preserve">453/10 </w:t>
      </w:r>
      <w:proofErr w:type="spellStart"/>
      <w:r>
        <w:rPr>
          <w:rFonts w:ascii="Georgia" w:eastAsia="Georgia" w:hAnsi="Georgia" w:cs="Georgia"/>
          <w:sz w:val="20"/>
          <w:szCs w:val="20"/>
        </w:rPr>
        <w:t>Pereničová</w:t>
      </w:r>
      <w:proofErr w:type="spellEnd"/>
      <w:r>
        <w:rPr>
          <w:rFonts w:ascii="Georgia" w:eastAsia="Georgia" w:hAnsi="Georgia" w:cs="Georgia"/>
          <w:sz w:val="20"/>
          <w:szCs w:val="20"/>
        </w:rPr>
        <w:t xml:space="preserve"> i </w:t>
      </w:r>
      <w:proofErr w:type="spellStart"/>
      <w:r>
        <w:rPr>
          <w:rFonts w:ascii="Georgia" w:eastAsia="Georgia" w:hAnsi="Georgia" w:cs="Georgia"/>
          <w:sz w:val="20"/>
          <w:szCs w:val="20"/>
        </w:rPr>
        <w:t>Perenič</w:t>
      </w:r>
      <w:proofErr w:type="spellEnd"/>
      <w:r>
        <w:rPr>
          <w:rFonts w:ascii="Georgia" w:eastAsia="Georgia" w:hAnsi="Georgia" w:cs="Georgia"/>
          <w:sz w:val="20"/>
          <w:szCs w:val="20"/>
        </w:rPr>
        <w:t>, pkt 28).</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Co więcej, Europejski Trybunał Sprawiedliwości wyraża się jasno co do sposobu, w jaki winny być stosowane przepisy dotyczące klauzul abuzywnych, co pozostaje spójne z polskim rozwiązaniem systemowym: </w:t>
      </w:r>
      <w:r>
        <w:rPr>
          <w:rFonts w:ascii="Georgia" w:eastAsia="Georgia" w:hAnsi="Georgia" w:cs="Georgia"/>
          <w:i/>
          <w:sz w:val="20"/>
          <w:szCs w:val="20"/>
        </w:rPr>
        <w:t xml:space="preserve">"(..) sądy krajowe są zobowiązane </w:t>
      </w:r>
      <w:r>
        <w:rPr>
          <w:rFonts w:ascii="Georgia" w:eastAsia="Georgia" w:hAnsi="Georgia" w:cs="Georgia"/>
          <w:b/>
          <w:i/>
          <w:sz w:val="20"/>
          <w:szCs w:val="20"/>
        </w:rPr>
        <w:t>wyłącznie do zaniechania</w:t>
      </w:r>
      <w:r>
        <w:rPr>
          <w:rFonts w:ascii="Georgia" w:eastAsia="Georgia" w:hAnsi="Georgia" w:cs="Georgia"/>
          <w:i/>
          <w:sz w:val="20"/>
          <w:szCs w:val="20"/>
        </w:rPr>
        <w:t xml:space="preserve">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w:t>
      </w:r>
      <w:proofErr w:type="spellStart"/>
      <w:r>
        <w:rPr>
          <w:rFonts w:ascii="Georgia" w:eastAsia="Georgia" w:hAnsi="Georgia" w:cs="Georgia"/>
          <w:i/>
          <w:sz w:val="20"/>
          <w:szCs w:val="20"/>
        </w:rPr>
        <w:t>Pohotovost</w:t>
      </w:r>
      <w:proofErr w:type="spellEnd"/>
      <w:r>
        <w:rPr>
          <w:rFonts w:ascii="Georgia" w:eastAsia="Georgia" w:hAnsi="Georgia" w:cs="Georgia"/>
          <w:i/>
          <w:sz w:val="20"/>
          <w:szCs w:val="20"/>
        </w:rPr>
        <w:t>’, pkt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Pr>
          <w:rFonts w:ascii="Georgia" w:eastAsia="Georgia" w:hAnsi="Georgia" w:cs="Georgia"/>
          <w:sz w:val="20"/>
          <w:szCs w:val="20"/>
        </w:rPr>
        <w:t>wyrok TE</w:t>
      </w:r>
      <w:r>
        <w:rPr>
          <w:rFonts w:ascii="Georgia" w:eastAsia="Georgia" w:hAnsi="Georgia" w:cs="Georgia"/>
          <w:color w:val="333333"/>
          <w:sz w:val="20"/>
          <w:szCs w:val="20"/>
        </w:rPr>
        <w:t xml:space="preserve"> </w:t>
      </w:r>
      <w:r w:rsidR="00CF7532">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W szerszym aspekcie, w sprawie stosowania przepisów dotyczących klauzul abuzywnych, w szczególności w umowach stosowanych przez instytucje finansowe, pozytywnie należy ocenić bogate orzecznictwo SOKIK w sprawie klauzul niedozwolonych, działania UOKIK (postępowania i ugody z instytucjami finansowymi w sprawie tzw. </w:t>
      </w:r>
      <w:proofErr w:type="spellStart"/>
      <w:r>
        <w:rPr>
          <w:rFonts w:ascii="Georgia" w:eastAsia="Georgia" w:hAnsi="Georgia" w:cs="Georgia"/>
          <w:sz w:val="20"/>
          <w:szCs w:val="20"/>
        </w:rPr>
        <w:t>polisolokat</w:t>
      </w:r>
      <w:proofErr w:type="spellEnd"/>
      <w:r>
        <w:rPr>
          <w:rFonts w:ascii="Georgia" w:eastAsia="Georgia" w:hAnsi="Georgia" w:cs="Georgia"/>
          <w:sz w:val="20"/>
          <w:szCs w:val="20"/>
        </w:rPr>
        <w:t>,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indeksowanych do waluty obcej lub denominowanych w walucie obcej zawieranych z konsumentami").</w:t>
      </w:r>
    </w:p>
    <w:p w:rsidR="00CA0801" w:rsidRDefault="00CA0801"/>
    <w:p w:rsidR="00CA0801" w:rsidRDefault="00117392">
      <w:r>
        <w:rPr>
          <w:rFonts w:ascii="Georgia" w:eastAsia="Georgia" w:hAnsi="Georgia" w:cs="Georgia"/>
          <w:sz w:val="20"/>
          <w:szCs w:val="20"/>
        </w:rPr>
        <w:lastRenderedPageBreak/>
        <w:t>Instytucje te należycie wykonują przyznane im prerogatywy w celu ochrony konsumenta, w tym korzystając z ostatnio wprowadzonych do porządku prawnego nowych instrumentów opiniodawczych w postępowaniach sądowych. Istotne jest, że zarówno UOKIK jak i RF wydają opinie w oparciu o własne szerokie i bezpośrednie rozpoznanie problemu stosowania klauzul abuzywnych przez przedsiębiorców. Prowadzone przez nich postępowania oddają w pełni wagę społeczną problemu, a specjalizacja w zakresie prawnej oceny klauzul abuzywnych pozwala na uznanie, że ich stanowiska prawne w analizowanym przedmiocie są wysoko specjalistyczne i zasługujące na aprobatę.</w:t>
      </w:r>
    </w:p>
    <w:p w:rsidR="00CA0801" w:rsidRDefault="00CA0801"/>
    <w:p w:rsidR="00CA0801" w:rsidRDefault="00117392">
      <w:r>
        <w:rPr>
          <w:rFonts w:ascii="Georgia" w:eastAsia="Georgia" w:hAnsi="Georgia" w:cs="Georgia"/>
          <w:sz w:val="20"/>
          <w:szCs w:val="20"/>
        </w:rPr>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Podkreślenia jednak wymaga, że działalność wyżej wymienionych instytucji i ich stanowiska w sprawie abuzywności klauzul w umowach z instytucjami finansowymi, w szczególności w umowach kredytowych waloryzowanych do waluty obcej, pozostają często niezauważone, o ile nawet nie pomijane w sprawach sądowych.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Analiza orzecznictwa wskazuje, że sądy cywilne, pomimo, iż to na nich z urzędu spoczywa obowiązek badania abuzywności klauzul niedozwolonych, często niestety nie rozpoznają problemu należycie. Zdarza się, że w konkretnej sprawie sądy nie badają czy dane postanowienie z wzorca umowy ma charakter klauzuli abuzywnej,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abuzywną. Powszechne jest nastawienie sądów przy ocenie umowy zawieranej z konsumentem typu "</w:t>
      </w:r>
      <w:r>
        <w:rPr>
          <w:rFonts w:ascii="Georgia" w:eastAsia="Georgia" w:hAnsi="Georgia" w:cs="Georgia"/>
          <w:i/>
          <w:sz w:val="20"/>
          <w:szCs w:val="20"/>
        </w:rPr>
        <w:t>klient widział, co podpisuje</w:t>
      </w:r>
      <w:r>
        <w:rPr>
          <w:rFonts w:ascii="Georgia" w:eastAsia="Georgia" w:hAnsi="Georgia" w:cs="Georgia"/>
          <w:sz w:val="20"/>
          <w:szCs w:val="20"/>
        </w:rPr>
        <w:t xml:space="preserve">", pomimo, że przecież art. 385 (1) i nast. k.c. oczywiście przeczy temu założeniu i nakłada na sąd obowiązek zbadania abuzywności klauzuli, zwłaszcza, że większość instytucji finansowych nie tylko nie informowała należycie konsumenta o swoim produkcie, ale nawet posuwała się do tzw.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rPr>
        <w:t xml:space="preserve">Problem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abuzywne.</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W kwestii zaś tzw. umów kredytowych waloryzowanych do kursu walut obcych, w ostatnich kilkunastu miesiącach zapadło niepokojąco wiele orzeczeń w sądowych sporach konsumentów z bankami, gdzie sąd orzekając o braku abuzywności postanowień umownych odwołujących się do tabel kursowych banku (kursy ustalane na nieznanych kredytobiorcy </w:t>
      </w:r>
      <w:r>
        <w:rPr>
          <w:rFonts w:ascii="Georgia" w:eastAsia="Georgia" w:hAnsi="Georgia" w:cs="Georgia"/>
          <w:b/>
          <w:sz w:val="20"/>
          <w:szCs w:val="20"/>
          <w:highlight w:val="white"/>
        </w:rPr>
        <w:t>w dniu zawierania umowy</w:t>
      </w:r>
      <w:r>
        <w:rPr>
          <w:rFonts w:ascii="Georgia" w:eastAsia="Georgia" w:hAnsi="Georgia" w:cs="Georgia"/>
          <w:sz w:val="20"/>
          <w:szCs w:val="20"/>
          <w:highlight w:val="white"/>
        </w:rPr>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kodeksu cywilnego, który jak wiadomo stanowi, że “</w:t>
      </w:r>
      <w:r>
        <w:rPr>
          <w:rFonts w:ascii="Georgia" w:eastAsia="Georgia" w:hAnsi="Georgia" w:cs="Georgia"/>
          <w:i/>
          <w:sz w:val="20"/>
          <w:szCs w:val="20"/>
          <w:highlight w:val="white"/>
        </w:rPr>
        <w:t xml:space="preserve">Oceny zgodności postanowienia umowy z dobrymi obyczajami dokonuje się </w:t>
      </w:r>
      <w:r>
        <w:rPr>
          <w:rFonts w:ascii="Georgia" w:eastAsia="Georgia" w:hAnsi="Georgia" w:cs="Georgia"/>
          <w:b/>
          <w:i/>
          <w:sz w:val="20"/>
          <w:szCs w:val="20"/>
          <w:highlight w:val="white"/>
        </w:rPr>
        <w:t>według stanu z chwili zawarcia umowy</w:t>
      </w:r>
      <w:r>
        <w:rPr>
          <w:rFonts w:ascii="Georgia" w:eastAsia="Georgia" w:hAnsi="Georgia" w:cs="Georgia"/>
          <w:i/>
          <w:sz w:val="20"/>
          <w:szCs w:val="20"/>
          <w:highlight w:val="white"/>
        </w:rPr>
        <w:t>, biorąc pod uwagę jej treść, okoliczności zawarcia oraz uwzględniając umowy pozostające w związku z umową obejmującą postanowienie będące przedmiotem oceny.</w:t>
      </w:r>
      <w:r>
        <w:rPr>
          <w:rFonts w:ascii="Georgia" w:eastAsia="Georgia" w:hAnsi="Georgia" w:cs="Georgia"/>
          <w:sz w:val="20"/>
          <w:szCs w:val="20"/>
          <w:highlight w:val="white"/>
        </w:rPr>
        <w:t>”</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lastRenderedPageBreak/>
        <w:t xml:space="preserve">Powszechną obecnie “plagą” w orzekaniu odnośnie abuzywnych postanowień w umowach kredytowych zawieranych i realizowanych przed dniem wejścia w życie noweli </w:t>
      </w:r>
      <w:proofErr w:type="spellStart"/>
      <w:r>
        <w:rPr>
          <w:rFonts w:ascii="Georgia" w:eastAsia="Georgia" w:hAnsi="Georgia" w:cs="Georgia"/>
          <w:sz w:val="20"/>
          <w:szCs w:val="20"/>
          <w:highlight w:val="white"/>
        </w:rPr>
        <w:t>antyspreadowej</w:t>
      </w:r>
      <w:proofErr w:type="spellEnd"/>
      <w:r>
        <w:rPr>
          <w:rFonts w:ascii="Georgia" w:eastAsia="Georgia" w:hAnsi="Georgia" w:cs="Georgia"/>
          <w:sz w:val="20"/>
          <w:szCs w:val="20"/>
          <w:highlight w:val="white"/>
        </w:rPr>
        <w:t xml:space="preserve"> wydaje się być powoływanie się na nią przez sędziów, co rzekomo rozwiązuje problem i uniemożliwia stwierdzenie abuzywności postanowienia umownego dotyczącego spłaty rat kredytowych.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abuzywności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abuzywności postanowień umownych jak i waloryzacji umownej oraz natury umowy kredytu w rozumieniu art. 69 ust. 1 prawa bankowego, wg którego umowa kredytu nie umożliwia bankowi czerpania zysku ze </w:t>
      </w:r>
      <w:proofErr w:type="spellStart"/>
      <w:r>
        <w:rPr>
          <w:rFonts w:ascii="Georgia" w:eastAsia="Georgia" w:hAnsi="Georgia" w:cs="Georgia"/>
          <w:sz w:val="20"/>
          <w:szCs w:val="20"/>
          <w:highlight w:val="white"/>
        </w:rPr>
        <w:t>spreadu</w:t>
      </w:r>
      <w:proofErr w:type="spellEnd"/>
      <w:r>
        <w:rPr>
          <w:rFonts w:ascii="Georgia" w:eastAsia="Georgia" w:hAnsi="Georgia" w:cs="Georgia"/>
          <w:sz w:val="20"/>
          <w:szCs w:val="20"/>
          <w:highlight w:val="white"/>
        </w:rPr>
        <w:t xml:space="preserve"> walutowego (różnica między kursem sprzedaży, a kursem kupna z tabeli kursowej banku).</w:t>
      </w:r>
    </w:p>
    <w:p w:rsidR="00CA0801" w:rsidRDefault="00CA0801"/>
    <w:p w:rsidR="00CA0801" w:rsidRDefault="00117392">
      <w:r>
        <w:rPr>
          <w:rFonts w:ascii="Georgia" w:eastAsia="Georgia" w:hAnsi="Georgia" w:cs="Georgia"/>
          <w:sz w:val="20"/>
          <w:szCs w:val="20"/>
        </w:rPr>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p>
    <w:p w:rsidR="00CA0801" w:rsidRDefault="00CA0801"/>
    <w:p w:rsidR="00CA0801" w:rsidRDefault="00117392">
      <w:r>
        <w:rPr>
          <w:rFonts w:ascii="Georgia" w:eastAsia="Georgia" w:hAnsi="Georgia" w:cs="Georgia"/>
          <w:sz w:val="20"/>
          <w:szCs w:val="20"/>
        </w:rPr>
        <w:t>Dlatego też niniejszą petycją wnoszę o przekazanie wszystkim sędziom Sądu Okręgowego</w:t>
      </w:r>
      <w:r w:rsidR="00CF7532">
        <w:rPr>
          <w:rFonts w:ascii="Georgia" w:eastAsia="Georgia" w:hAnsi="Georgia" w:cs="Georgia"/>
          <w:sz w:val="20"/>
          <w:szCs w:val="20"/>
        </w:rPr>
        <w:t xml:space="preserve"> Warszawa-Praga</w:t>
      </w:r>
      <w:r>
        <w:rPr>
          <w:rFonts w:ascii="Georgia" w:eastAsia="Georgia" w:hAnsi="Georgia" w:cs="Georgia"/>
          <w:sz w:val="20"/>
          <w:szCs w:val="20"/>
        </w:rPr>
        <w:t xml:space="preserve"> w </w:t>
      </w:r>
      <w:r w:rsidR="00CF7532">
        <w:rPr>
          <w:rFonts w:ascii="Georgia" w:eastAsia="Georgia" w:hAnsi="Georgia" w:cs="Georgia"/>
          <w:sz w:val="20"/>
          <w:szCs w:val="20"/>
        </w:rPr>
        <w:t>Warszawie</w:t>
      </w:r>
      <w:r>
        <w:rPr>
          <w:rFonts w:ascii="Georgia" w:eastAsia="Georgia" w:hAnsi="Georgia" w:cs="Georgia"/>
          <w:sz w:val="20"/>
          <w:szCs w:val="20"/>
        </w:rPr>
        <w:t xml:space="preserve"> oraz wszystkim sędziom podległych Sądowi Okręgowemu Sądów Rejonowych treści niniejszej petycji wraz z załącznikami:</w:t>
      </w:r>
    </w:p>
    <w:p w:rsidR="00CA0801" w:rsidRDefault="00CA0801"/>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Raport Rzecznika Finansowego “Analiza prawna wybranych postanowień umownych stosowanych przez banki w umowach kredytów indeksowanych do waluty obcej lub denominowanych w walucie obcej zawieranych z konsumentami”</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DYREKTYWA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Informacja UOKiK o sprostowaniu do Dyrektywy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 xml:space="preserve">Sprostowanie do dyrektywy Rady 93/13/EWG z dnia 5 kwietnia 1993 r. w sprawie nieuczciwych warunków w umowach konsumenckich </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(mBank)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(Eurobank)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Rzecznika Finansowego w sprawie umowy kredytu indeksowanego (Bank Millenium)</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Petycja do Ministra Sprawiedliwości w sprawie przeprowadzenia szkoleń dla sędziów sądów powszechnych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Odpowiedź Ministerstwa Sprawiedliwości na petycję w sprawie przeprowadzenia szkoleń dla sędziów sądów powszechnych.</w:t>
      </w:r>
    </w:p>
    <w:p w:rsidR="00CA0801" w:rsidRDefault="00CA0801"/>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Z powyższych względów - z uwagi na ważny interes społeczny - niniejszy wniosek  jest w pełni racjonalny i uzasadniony, a zatem zasługuje na pozytywne rozpatrzenie, o co niniejszym wnoszę.</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Niniejszym oświadczam, iż nie wyrażam zgody na publikację moich danych osobowych.</w:t>
      </w:r>
    </w:p>
    <w:p w:rsidR="00CA0801" w:rsidRDefault="00117392">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highlight w:val="white"/>
        </w:rPr>
        <w:lastRenderedPageBreak/>
        <w:br/>
        <w:t>Z poważaniem,</w:t>
      </w:r>
    </w:p>
    <w:p w:rsidR="00CA0801" w:rsidRDefault="00117392">
      <w:r>
        <w:rPr>
          <w:rFonts w:ascii="Georgia" w:eastAsia="Georgia" w:hAnsi="Georgia" w:cs="Georgia"/>
          <w:sz w:val="20"/>
          <w:szCs w:val="20"/>
          <w:highlight w:val="white"/>
        </w:rPr>
        <w:t xml:space="preserve"> …………………………………………………………………...</w:t>
      </w:r>
    </w:p>
    <w:p w:rsidR="00CA0801" w:rsidRDefault="00117392">
      <w:r>
        <w:rPr>
          <w:sz w:val="20"/>
          <w:szCs w:val="20"/>
          <w:highlight w:val="white"/>
        </w:rPr>
        <w:t xml:space="preserve">[imię nazwisko, </w:t>
      </w:r>
      <w:bookmarkStart w:id="0" w:name="_GoBack"/>
      <w:bookmarkEnd w:id="0"/>
      <w:r>
        <w:rPr>
          <w:sz w:val="20"/>
          <w:szCs w:val="20"/>
          <w:highlight w:val="white"/>
        </w:rPr>
        <w:t>adres zamieszkania, email]</w:t>
      </w:r>
    </w:p>
    <w:sectPr w:rsidR="00CA0801">
      <w:headerReference w:type="default" r:id="rId8"/>
      <w:footerReference w:type="default" r:id="rId9"/>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C8B" w:rsidRDefault="00653C8B">
      <w:pPr>
        <w:spacing w:line="240" w:lineRule="auto"/>
      </w:pPr>
      <w:r>
        <w:separator/>
      </w:r>
    </w:p>
  </w:endnote>
  <w:endnote w:type="continuationSeparator" w:id="0">
    <w:p w:rsidR="00653C8B" w:rsidRDefault="00653C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653C8B">
    <w:pPr>
      <w:jc w:val="right"/>
    </w:pPr>
    <w:r>
      <w:pict>
        <v:rect id="_x0000_i1026" style="width:0;height:1.5pt" o:hralign="center" o:hrstd="t" o:hr="t" fillcolor="#a0a0a0" stroked="f"/>
      </w:pict>
    </w:r>
  </w:p>
  <w:p w:rsidR="00CA0801" w:rsidRDefault="00117392">
    <w:pPr>
      <w:jc w:val="right"/>
    </w:pPr>
    <w:r>
      <w:rPr>
        <w:i/>
        <w:sz w:val="16"/>
        <w:szCs w:val="16"/>
      </w:rPr>
      <w:t xml:space="preserve">Petycja do Prezesa Sądu Okręgowego, strona nr </w:t>
    </w:r>
    <w:r>
      <w:fldChar w:fldCharType="begin"/>
    </w:r>
    <w:r>
      <w:instrText>PAGE</w:instrText>
    </w:r>
    <w:r>
      <w:fldChar w:fldCharType="separate"/>
    </w:r>
    <w:r w:rsidR="00CF7532">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C8B" w:rsidRDefault="00653C8B">
      <w:pPr>
        <w:spacing w:line="240" w:lineRule="auto"/>
      </w:pPr>
      <w:r>
        <w:separator/>
      </w:r>
    </w:p>
  </w:footnote>
  <w:footnote w:type="continuationSeparator" w:id="0">
    <w:p w:rsidR="00653C8B" w:rsidRDefault="00653C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117392">
    <w:pPr>
      <w:jc w:val="center"/>
    </w:pPr>
    <w:r>
      <w:rPr>
        <w:sz w:val="16"/>
        <w:szCs w:val="16"/>
        <w:u w:val="single"/>
      </w:rPr>
      <w:br/>
    </w:r>
    <w:r>
      <w:rPr>
        <w:sz w:val="16"/>
        <w:szCs w:val="16"/>
        <w:u w:val="single"/>
      </w:rPr>
      <w:br/>
    </w:r>
    <w:r>
      <w:rPr>
        <w:rFonts w:ascii="Verdana" w:eastAsia="Verdana" w:hAnsi="Verdana" w:cs="Verdana"/>
        <w:sz w:val="16"/>
        <w:szCs w:val="16"/>
      </w:rPr>
      <w:t xml:space="preserve">Społeczna Akcja Informacyjna Dla Sądów Powszechnych  </w:t>
    </w:r>
    <w:r>
      <w:rPr>
        <w:rFonts w:ascii="Verdana" w:eastAsia="Verdana" w:hAnsi="Verdana" w:cs="Verdana"/>
        <w:sz w:val="16"/>
        <w:szCs w:val="16"/>
      </w:rPr>
      <w:br/>
    </w:r>
    <w:r w:rsidR="00653C8B">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513DB"/>
    <w:multiLevelType w:val="multilevel"/>
    <w:tmpl w:val="EF38D9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A0801"/>
    <w:rsid w:val="00117392"/>
    <w:rsid w:val="001817E9"/>
    <w:rsid w:val="00364670"/>
    <w:rsid w:val="00456534"/>
    <w:rsid w:val="00653C8B"/>
    <w:rsid w:val="00865F33"/>
    <w:rsid w:val="00CA0801"/>
    <w:rsid w:val="00CF75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2004</Words>
  <Characters>12028</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Użytkownik systemu Windows</cp:lastModifiedBy>
  <cp:revision>5</cp:revision>
  <dcterms:created xsi:type="dcterms:W3CDTF">2017-01-13T21:52:00Z</dcterms:created>
  <dcterms:modified xsi:type="dcterms:W3CDTF">2017-01-13T21:57:00Z</dcterms:modified>
</cp:coreProperties>
</file>