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20" w:before="220" w:lineRule="auto"/>
        <w:jc w:val="right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…………………………………….</w:t>
        <w:br w:type="textWrapping"/>
        <w:t xml:space="preserve">[miejscowość, dnia]</w:t>
      </w:r>
    </w:p>
    <w:p w:rsidR="00000000" w:rsidDel="00000000" w:rsidP="00000000" w:rsidRDefault="00000000" w:rsidRPr="00000000" w14:paraId="00000002">
      <w:pPr>
        <w:spacing w:after="220" w:before="220" w:lineRule="auto"/>
        <w:rPr>
          <w:rFonts w:ascii="Verdana" w:cs="Verdana" w:eastAsia="Verdana" w:hAnsi="Verdana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20" w:before="220" w:lineRule="auto"/>
        <w:ind w:left="1440" w:firstLine="0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Prezes Urzędu Ochrony Konkurencji i Konsumentów</w:t>
        <w:br w:type="textWrapping"/>
        <w:t xml:space="preserve">pl. Powstańców Warszawy 1</w:t>
        <w:br w:type="textWrapping"/>
        <w:t xml:space="preserve">00-950 Warszawa</w:t>
        <w:br w:type="textWrapping"/>
        <w:t xml:space="preserve">uokik@uokik.gov.pl</w:t>
      </w:r>
    </w:p>
    <w:p w:rsidR="00000000" w:rsidDel="00000000" w:rsidP="00000000" w:rsidRDefault="00000000" w:rsidRPr="00000000" w14:paraId="00000004">
      <w:pPr>
        <w:spacing w:after="220" w:before="220" w:lineRule="auto"/>
        <w:jc w:val="center"/>
        <w:rPr>
          <w:rFonts w:ascii="Verdana" w:cs="Verdana" w:eastAsia="Verdana" w:hAnsi="Verdana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20" w:before="220" w:lineRule="auto"/>
        <w:jc w:val="center"/>
        <w:rPr>
          <w:rFonts w:ascii="Verdana" w:cs="Verdana" w:eastAsia="Verdana" w:hAnsi="Verdana"/>
          <w:b w:val="1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PETYCJA </w:t>
        <w:br w:type="textWrapping"/>
        <w:t xml:space="preserve">o wydanie i ogłoszenie interpretacji mających istotne znaczenie </w:t>
        <w:br w:type="textWrapping"/>
        <w:t xml:space="preserve">dla stosowania przepisów oraz oceny praktyk rynkowych </w:t>
        <w:br w:type="textWrapping"/>
        <w:t xml:space="preserve">w sprawach objętych zakresem działania Prezesa Urzędu</w:t>
      </w:r>
    </w:p>
    <w:p w:rsidR="00000000" w:rsidDel="00000000" w:rsidP="00000000" w:rsidRDefault="00000000" w:rsidRPr="00000000" w14:paraId="00000006">
      <w:pPr>
        <w:spacing w:after="220" w:before="220" w:lineRule="auto"/>
        <w:jc w:val="center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20" w:before="22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Mając na względzie zakres działania Prezesa Urzędu określony art. 31a Ustawy o ochronie konkurencji i konsumentów oraz prawo do wnoszenia petycji, wnoszę w interesie publicznym petycję do Prezesa Urzędu Ochrony Konkurencji i Konsumentów:</w:t>
      </w:r>
    </w:p>
    <w:p w:rsidR="00000000" w:rsidDel="00000000" w:rsidP="00000000" w:rsidRDefault="00000000" w:rsidRPr="00000000" w14:paraId="00000008">
      <w:pPr>
        <w:spacing w:after="220" w:before="22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I. z żądaniem wydania i ogłoszenia interpretacji mających istotne znaczenie dla stosowania niżej wymienionych przepisów: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spacing w:after="0" w:afterAutospacing="0" w:before="220" w:lineRule="auto"/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Czy art.384 Kodeksu cywilnego należy rozumieć tak, że zarówno wzór umowy, regulamin jak i dowolne inne postanowienia ustalone przez przedsiębiorcę w celu zawarcia umów z konsumentami stanowią wzorzec umowy?</w:t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Czy art. 23a. ustawy o ochronie konkurencji i konsumentów należy rozumieć tak, że Urząd nie zajmuje się umowami znajdującymi się w obrocie (nie chroni konsumentów), gdy przedsiębiorca wykonuje umowę, zawartą w oparciu o ustalony przez siebie wzorzec umowy zawierający niedozwolone postanowienia umowne?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Czy art. 23b. ustawy o ochronie konkurencji i konsumentów, należy rozumieć tak, że Urząd eliminuje z obrotu niedozwolone postanowienia umowne zawarte w umowach wykonywanych za pomocą wydania decyzji przekazywanych przedsiębiorcy, który ustalił wzorzec umowy zawierający nieuczciwe zapisy (niedozwolone postanowienia umowne)?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Czy art. 23b. ustawy o ochronie konkurencji i konsumentów należy rozumieć tak, że Urząd eliminuje z obrotu niedozwolone postanowienia umowne zawarte w umowach wykonywanych, a zawartych także przed wydaniem decyzji przez Prezesa?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Czy art. 23d. ustawy o ochronie konkurencji i konsumentów należy rozumieć tak, że ochroną objęci są wszyscy konsumenci którzy zawarli umowę w zastosowaniem postanowienie wzorca umowy wskazanego w decyzji, zarówno przed ogłoszeniem jak i po ogłoszeniu decyzji?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Czy art.106b ustawy o ochronie konkurencji i konsumentów należy rozumieć tak, że nakłada się kary za wykorzystywanie postanowień wpisanych do rejestru, o którym mowa w art. 479/45 § 2  na podstawie art.479/45 § 1?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Czy art.107 ustawy o ochronie konkurencji i konsumentów należy rozumieć tak, że Prezes Urzędu może nałożyć karę pieniężną w wysokości stanowiącej równowartość do 10 000 euro za każdy dzień opóźnienia wykonania wyroków sądowych dotyczących niedozwolonych postanowień wzorców umów?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after="220" w:before="0" w:beforeAutospacing="0" w:lineRule="auto"/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Czy art.138b ustawy z dnia 20 maja 1971 r. - Kodeks wykroczeń Dz.U.2019.0.821 należy rozumieć tak, że Urząd wnosi do odpowiedniego Sądu o ukaranie osoby kierującej przedsiębiorstwem?</w:t>
      </w:r>
    </w:p>
    <w:p w:rsidR="00000000" w:rsidDel="00000000" w:rsidP="00000000" w:rsidRDefault="00000000" w:rsidRPr="00000000" w14:paraId="00000011">
      <w:pPr>
        <w:spacing w:after="220" w:before="220" w:lineRule="auto"/>
        <w:rPr>
          <w:rFonts w:ascii="Verdana" w:cs="Verdana" w:eastAsia="Verdana" w:hAnsi="Verdana"/>
          <w:b w:val="1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II. żądaniem wydania i ogłoszenia interpretacji odnoszących się do stosowania niżej wymienionych praktyk rynkowych w obrocie konsumenckim: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0" w:afterAutospacing="0" w:before="220" w:lineRule="auto"/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Czy praktyka polegająca na udzielaniu przez przedsiębiorcę nieprawdziwych informacji w odpowiedziach na składane reklamacje jest praktyką naruszającą zbiorowe interesy konsumentów w rozumieniu art.24 ustawy o ochronie konkurencji i konsumentów?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Czy przedsiębiorca który jednorazowo lub wielokrotnie informuje konsumenta, że postanowienie wpisane do rejestru, o którym mowa w art. 479/45 § 2 kpc na podstawie art.479/45 § 1 kpc nie mają wpływu na wiążącą ich umowę popełnia przestępstwo, wykroczenie, dopuszcza się nieuczciwej praktyki rynkowej, czy podaje faktyczny stan prawny?  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Czy wykonywanie przez przedsiębiorcę umów zawartych z konsumentami na podstawie jednolitego wzorca zawierającego niedozwolone postanowienia umowne jest praktyką naruszającą zbiorowe interesy konsumentów w rozumieniu art. 24 ustawy o ochronie konkurencji i konsumentów?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Czy na podstawie art. 26 ustawy o ochronie konkurencji i konsumentów Prezes Urzędu wydaje decyzję o uznaniu praktyki za naruszającą zbiorowe interesy konsumentów i nakazującą zaniechanie jej stosowania, jeżeli stwierdzi naruszenie zakazu określonego w art. 24 polegające na wykonywaniu przez przedsiębiorcę umów zawartych z konsumentami na podstawie jednolitego wzorca zawierającego niedozwolone postanowienia umowne?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after="220" w:before="0" w:beforeAutospacing="0" w:lineRule="auto"/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Ile umów zawartych z konsumentami wg wzorca zawierającego niedozwolone postanowienia umowne musi wykonywać jednocześnie przedsiębiorca, aby taka praktyka została uznana za praktykę naruszającą zbiorowe interesy konsumentów w rozumieniu art. 24 ustawy o ochronie konkurencji i konsumentów?</w:t>
      </w:r>
    </w:p>
    <w:p w:rsidR="00000000" w:rsidDel="00000000" w:rsidP="00000000" w:rsidRDefault="00000000" w:rsidRPr="00000000" w14:paraId="00000017">
      <w:pPr>
        <w:spacing w:after="220" w:before="220" w:lineRule="auto"/>
        <w:rPr>
          <w:rFonts w:ascii="Verdana" w:cs="Verdana" w:eastAsia="Verdana" w:hAnsi="Verdana"/>
          <w:b w:val="1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III. z żądaniem wydania i ogłoszenia interpretacji mających istotne znaczenie dla praktyki orzeczniczej sądów powszechnych:</w:t>
      </w:r>
    </w:p>
    <w:p w:rsidR="00000000" w:rsidDel="00000000" w:rsidP="00000000" w:rsidRDefault="00000000" w:rsidRPr="00000000" w14:paraId="00000018">
      <w:pPr>
        <w:spacing w:after="220" w:before="22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Czy Sąd krajowy, rozstrzygający spór pomiędzy konsumentem i przedsiębiorcą, związany jest wpisem do Rejestru, o którym mowa w art. 479/45 § 2  kodeksu postępowania cywilnego w związku z art. 479/45 § 1 k.p.c., czy też sentencją wyroku, lub też jego uzasadnieniem?</w:t>
      </w:r>
    </w:p>
    <w:p w:rsidR="00000000" w:rsidDel="00000000" w:rsidP="00000000" w:rsidRDefault="00000000" w:rsidRPr="00000000" w14:paraId="00000019">
      <w:pPr>
        <w:spacing w:after="220" w:before="22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Nadto Składający petycję: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22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przypomina, że niniejsza petycja podlega niezwłocznemu opublikowaniu na stronie internetowej Urzędu Ochrony Konkurencji i Konsumentów, stosownie do art. 8 ust. 1 Ustawy z dnia 11 lipca 2014 r. o petycjach,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oświadcza, iż nie wyraża zgody na publikację swoich danych osobowych,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20" w:before="0" w:beforeAutospacing="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wskazuje, że spełnienie żądań zakreślonych w niniejszej  petycji: mieści się w zakresie zadań i kompetencji Prezesa Urzędu Ochrony Konkurencji i Konsumentów, odnosi się do życia zbiorowego oraz wartości wymagającej szczególnej ochrony tj. praw konsumenta - zgodnie z art. 76 Konstytucji RP oraz przepisami Dyrektywy Rady 93/13/EWG ws. nieuczciwych warunków w umowach konsumenckich oraz jest w interesie publicznym.</w:t>
      </w:r>
    </w:p>
    <w:p w:rsidR="00000000" w:rsidDel="00000000" w:rsidP="00000000" w:rsidRDefault="00000000" w:rsidRPr="00000000" w14:paraId="0000001D">
      <w:pPr>
        <w:spacing w:after="220" w:before="22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220" w:before="22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……………………</w:t>
      </w:r>
    </w:p>
    <w:p w:rsidR="00000000" w:rsidDel="00000000" w:rsidP="00000000" w:rsidRDefault="00000000" w:rsidRPr="00000000" w14:paraId="0000001F">
      <w:pPr>
        <w:spacing w:after="220" w:before="22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[imię, nazwisko, adres zamieszkania]</w:t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cs="Arial" w:eastAsia="Arial" w:hAnsi="Arial"/>
        <w:sz w:val="21"/>
        <w:szCs w:val="21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cs="Arial" w:eastAsia="Arial" w:hAnsi="Arial"/>
        <w:sz w:val="21"/>
        <w:szCs w:val="21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