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1d2129"/>
          <w:sz w:val="24"/>
          <w:szCs w:val="24"/>
          <w:highlight w:val="white"/>
          <w:rtl w:val="0"/>
        </w:rPr>
        <w:t xml:space="preserve">Wniosek wysyłamy na maila</w:t>
      </w:r>
      <w:r w:rsidDel="00000000" w:rsidR="00000000" w:rsidRPr="00000000">
        <w:rPr>
          <w:rFonts w:ascii="Georgia" w:cs="Georgia" w:eastAsia="Georgia" w:hAnsi="Georgia"/>
          <w:b w:val="1"/>
          <w:color w:val="1d21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sz w:val="24"/>
          <w:szCs w:val="24"/>
          <w:highlight w:val="white"/>
          <w:rtl w:val="0"/>
        </w:rPr>
        <w:t xml:space="preserve">listy@nbp.pl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1d2129"/>
          <w:sz w:val="24"/>
          <w:szCs w:val="24"/>
          <w:highlight w:val="white"/>
          <w:rtl w:val="0"/>
        </w:rPr>
        <w:t xml:space="preserve">W temacie maila wpisujemy</w:t>
      </w:r>
      <w:r w:rsidDel="00000000" w:rsidR="00000000" w:rsidRPr="00000000">
        <w:rPr>
          <w:rFonts w:ascii="Georgia" w:cs="Georgia" w:eastAsia="Georgia" w:hAnsi="Georgia"/>
          <w:b w:val="1"/>
          <w:color w:val="1d2129"/>
          <w:sz w:val="24"/>
          <w:szCs w:val="24"/>
          <w:highlight w:val="white"/>
          <w:rtl w:val="0"/>
        </w:rPr>
        <w:t xml:space="preserve"> "wniosek o udostępnienie informacji publicznej".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1d2129"/>
          <w:sz w:val="24"/>
          <w:szCs w:val="24"/>
          <w:highlight w:val="white"/>
          <w:rtl w:val="0"/>
        </w:rPr>
        <w:t xml:space="preserve">Jako załącznik do maila dołączamy raport o stabilności.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1d2129"/>
          <w:sz w:val="24"/>
          <w:szCs w:val="24"/>
          <w:highlight w:val="white"/>
          <w:rtl w:val="0"/>
        </w:rPr>
        <w:t xml:space="preserve">Znajdziecie go do pobrania na dole strony </w:t>
      </w:r>
      <w:hyperlink r:id="rId5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highlight w:val="white"/>
            <w:u w:val="single"/>
            <w:rtl w:val="0"/>
          </w:rPr>
          <w:t xml:space="preserve">http://www.odfrankujkredyt.info/?wniosek-do-nbp-w-sprawie-kredytow-nominowanych-we-franku</w:t>
        </w:r>
      </w:hyperlink>
      <w:r w:rsidDel="00000000" w:rsidR="00000000" w:rsidRPr="00000000">
        <w:rPr>
          <w:rFonts w:ascii="Georgia" w:cs="Georgia" w:eastAsia="Georgia" w:hAnsi="Georgia"/>
          <w:color w:val="1d2129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b w:val="1"/>
          <w:color w:val="1d2129"/>
          <w:sz w:val="21"/>
          <w:szCs w:val="21"/>
          <w:highlight w:val="white"/>
          <w:rtl w:val="0"/>
        </w:rPr>
        <w:t xml:space="preserve">Wniosek o udostępnienie informacji publicznej.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b w:val="1"/>
          <w:color w:val="1d2129"/>
          <w:sz w:val="21"/>
          <w:szCs w:val="21"/>
          <w:highlight w:val="white"/>
          <w:rtl w:val="0"/>
        </w:rPr>
        <w:t xml:space="preserve">Szanowny Pan Prezes Narodowego Banku Polskiego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b w:val="1"/>
          <w:color w:val="1d2129"/>
          <w:sz w:val="21"/>
          <w:szCs w:val="21"/>
          <w:highlight w:val="white"/>
          <w:rtl w:val="0"/>
        </w:rPr>
        <w:t xml:space="preserve">prof. Adam Glapiński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W związku z wykorzystywaniem przez NBP w grudniowym "Raporcie o stabilności systemu finansowego" (data publikacji: grudzień 2016, zwany dalej "Raportem") określenia </w:t>
      </w:r>
      <w:r w:rsidDel="00000000" w:rsidR="00000000" w:rsidRPr="00000000">
        <w:rPr>
          <w:i w:val="1"/>
          <w:color w:val="1d2129"/>
          <w:sz w:val="21"/>
          <w:szCs w:val="21"/>
          <w:highlight w:val="white"/>
          <w:rtl w:val="0"/>
        </w:rPr>
        <w:t xml:space="preserve">"kredyty hipoteczne nominowane we franku szwajcarskim"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 niniejszym na podstawie art. 2 ust. 1 ustawy z dnia 6 września 2001 r. o dostępie do informacji publicznej (Dz. U. Nr 112 poz. 1198, z późn. zm.) zwracam się z prośbą o udostępnienie mi przez Prezesa NBP informacji w następującym zakresie: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1. Treść analiz, opracowań, raportów, wskazująca, jaki procent umów kredytowych określanych w Raporcie jako </w:t>
      </w:r>
      <w:r w:rsidDel="00000000" w:rsidR="00000000" w:rsidRPr="00000000">
        <w:rPr>
          <w:i w:val="1"/>
          <w:color w:val="1d2129"/>
          <w:sz w:val="21"/>
          <w:szCs w:val="21"/>
          <w:highlight w:val="white"/>
          <w:rtl w:val="0"/>
        </w:rPr>
        <w:t xml:space="preserve">"kredyty hipoteczne nominowane we franku szwajcarskim"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 to umowy kredytowe zawarte z konsumentami i wykorzystujące do wypłaty kredytu "kurs kupna" z tabeli kursowej kredytodawcy, przy założeniu, że umowa kredytowa nie precyzuje zasad, na których bank ten "kurs kupna" ustala? Taki sposób wypłaty kredytu został prawomocnie uznany przez Sąd Ochrony Konkurencji i Konsumentów za abuzywny (niewiążący), czego potwierdzeniem jest klauzula nr 3178 w Rejestrze UOKiK.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2. Treść analiz, opracowań, raportów, wskazująca, jaki procent umów kredytowych określanych w Raporcie jako </w:t>
      </w:r>
      <w:r w:rsidDel="00000000" w:rsidR="00000000" w:rsidRPr="00000000">
        <w:rPr>
          <w:i w:val="1"/>
          <w:color w:val="1d2129"/>
          <w:sz w:val="21"/>
          <w:szCs w:val="21"/>
          <w:highlight w:val="white"/>
          <w:rtl w:val="0"/>
        </w:rPr>
        <w:t xml:space="preserve">"kredyty hipoteczne nominowane we franku szwajcarskim"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 to umowy kredytowe zawarte z konsumentami i wykorzystujące do spłaty kredytu "kurs sprzedaży" z tabeli kursowej kredytodawcy, przy założeniu, że umowa kredytowa nie precyzuje zasad, na których bank ten "kurs sprzedaży" ustala? Taki sposób spłaty kredytu został prawomocnie uznany przez Sąd Ochrony Konkurencji i Konsumentów za abuzywny (niewiążący), czego potwierdzeniem są klauzule nr 3179, 5622 oraz 5743 w Rejestrze UOKiK.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3. Treść analiz, opracowań, raportów, wskazująca, jaki procent umów kredytowych określanych w Raporcie jako </w:t>
      </w:r>
      <w:r w:rsidDel="00000000" w:rsidR="00000000" w:rsidRPr="00000000">
        <w:rPr>
          <w:i w:val="1"/>
          <w:color w:val="1d2129"/>
          <w:sz w:val="21"/>
          <w:szCs w:val="21"/>
          <w:highlight w:val="white"/>
          <w:rtl w:val="0"/>
        </w:rPr>
        <w:t xml:space="preserve">"kredyty hipoteczne nominowane we franku szwajcarskim"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 to umowy kredytowe umożliwiające bankowi czerpanie dodatkowego i nieujętego w ustawie prawo bankowe (czyli bezprawnego) zysku wynikającego wyłącznie z różnicy (spreadu walutowego) między kursem sprzedaży, a kursem kupna z tabeli kursowej kredytodawcy?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4. Treść analiz, opracowań, raportów, wskazująca, jaki wpływ na "stabilność systemu finansowego" miałyby prawomocne wyroki sądowe uznające umowy "denominowane", "waloryzowane" lub "indeksowane" za niezgodne z polskim prawem, a przez to nieważne lub ważne co najwyżej jako kredyty złotowe z oprocentowaniem wg zasad przyjętych w umowie (najczęściej marża banku + stopa bazowa LIBOR 3M lub 6M) 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Celem niniejszego wniosku jest ustalenie, czy Narodowy Bank Polski, poddając analizie </w:t>
      </w:r>
      <w:r w:rsidDel="00000000" w:rsidR="00000000" w:rsidRPr="00000000">
        <w:rPr>
          <w:i w:val="1"/>
          <w:color w:val="1d2129"/>
          <w:sz w:val="21"/>
          <w:szCs w:val="21"/>
          <w:highlight w:val="white"/>
          <w:rtl w:val="0"/>
        </w:rPr>
        <w:t xml:space="preserve">"kredyty hipoteczne nominowane we franku szwajcarskim",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 zwraca jakąkolwiek uwagę na to, że kilkaset tysięcy umów kredytowych udzielonych Polakom przez banki to najprawdopodobniej albo umowy w całości nieważne (kredyty "denominowane" lub "indeksowane"), albo umowy z nieważną bądź niewiążącą indeksacją/waloryzacją.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Biorąc pod uwagę zarówno kolejne, sukcesywnie publikowane przez UOKiK oraz Rzecznika Finansowego "istotne poglądy" w sprawie kredytów "walutowych", a także mając na uwadze choćby treść Raport Rzecznika Finansowego pt. </w:t>
      </w:r>
      <w:hyperlink r:id="rId6">
        <w:r w:rsidDel="00000000" w:rsidR="00000000" w:rsidRPr="00000000">
          <w:rPr>
            <w:color w:val="0000ff"/>
            <w:sz w:val="21"/>
            <w:szCs w:val="21"/>
            <w:highlight w:val="white"/>
            <w:rtl w:val="0"/>
          </w:rPr>
          <w:t xml:space="preserve">"Analiza prawna wybranych postanowień umownych stosowanych przez banki w umowach kredytów indeksowanych do waluty obcej lub denominowanych w walucie obcej zawieranych z konsumentami"</w:t>
        </w:r>
      </w:hyperlink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, byłoby dla mnie czymś zupełnie niezrozumiałym, gdyby Narodowy Bank Polski, poddając </w:t>
      </w:r>
      <w:r w:rsidDel="00000000" w:rsidR="00000000" w:rsidRPr="00000000">
        <w:rPr>
          <w:i w:val="1"/>
          <w:color w:val="1d2129"/>
          <w:sz w:val="21"/>
          <w:szCs w:val="21"/>
          <w:highlight w:val="white"/>
          <w:rtl w:val="0"/>
        </w:rPr>
        <w:t xml:space="preserve">"kredyty hipoteczne nominowane we franku szwajcarskim" 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analizie w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Raporcie o stabilności systemu finansowego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 zakładał, że nie ma powodów, aby kwestionować zgodność z prawem umów kredytowych denominowanych, waloryzowanych oraz indeksowanych, traktując prawdziwe kredyty walutowe (czyli wypłacone w walucie i spłacane w walucie obcej) na równi z bardzo wątpliwymi prawnie produktami finansowymi, sprzedawanymi jeszcze do niedawna za zgodą i przy absolutnej bierności Państwa Polskiego przez banki i nazywanymi przez te banki umowami kredytów indeksowanych, denominowanych, waloryzowanych, a czasem także po prostu "walutowych", pomimo że żadnej waluty żaden kredytobiorca tam nigdzie, poza zapisem na umowie kredytowej, nie widział.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Jeśli natomiast Narodowy Bank Polski przyjmuje, iż nie istnieją wątpliwości co do tego, że umowy waloryzowane, indeksowane bądź denominowane są zgodne z prawem, to wnoszę o przekazanie - także na podstawie mojego ustawowego prawa dostępu do informacji publicznej - wszelkich tych opracowań, raportów i analiz, które pozwalają Narodowemu Bankowi Polskiemu zakładać, że analizując </w:t>
      </w:r>
      <w:r w:rsidDel="00000000" w:rsidR="00000000" w:rsidRPr="00000000">
        <w:rPr>
          <w:i w:val="1"/>
          <w:color w:val="1d2129"/>
          <w:sz w:val="21"/>
          <w:szCs w:val="21"/>
          <w:highlight w:val="white"/>
          <w:rtl w:val="0"/>
        </w:rPr>
        <w:t xml:space="preserve">"kredyty hipoteczne nominowane we franku szwajcarskim" 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NBP poddaje analizie wyłącznie produkty kredytowe w pełni zgodne z obowiązującym prawem i bezwzględnie niepodważalne nawet na drodze sądowej.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Forma przekazania informacji: poczta elektroniczna na adres email .....................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Wyrażam zgodę na przetwarzanie moich danych osobowych zgodnie z ustawą z dnia 29 sierpnia 1997 r. o ochronie danych osobowych (Dz. U. z 2002 r. Nr 101 poz. 926, z późn. zm.).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Dla całkowitej jasności załączam "Raport o stabilności systemu finansowego", do którego odnosi się niniejszy wniosek.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......................................</w:t>
      </w:r>
    </w:p>
    <w:p w:rsidR="00000000" w:rsidDel="00000000" w:rsidP="00000000" w:rsidRDefault="00000000" w:rsidRPr="00000000">
      <w:pPr>
        <w:spacing w:after="100"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[miejscowość, data] </w:t>
      </w:r>
    </w:p>
    <w:p w:rsidR="00000000" w:rsidDel="00000000" w:rsidP="00000000" w:rsidRDefault="00000000" w:rsidRPr="00000000">
      <w:pPr>
        <w:spacing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>
      <w:pPr>
        <w:spacing w:before="100" w:lineRule="auto"/>
        <w:contextualSpacing w:val="0"/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[imię i nazwisko, adres zamieszkania]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odfrankujkredyt.info/?wniosek-do-nbp-w-sprawie-kredytow-nominowanych-we-franku" TargetMode="External"/><Relationship Id="rId6" Type="http://schemas.openxmlformats.org/officeDocument/2006/relationships/hyperlink" Target="https://rf.gov.pl/sprawy-biezace/Raport_Rzecznika_Finansowego__Klauzule_niedozwolone_w_umowach_kredytow____walutowych_____22351" TargetMode="External"/></Relationships>
</file>