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ind w:left="4240" w:firstLine="0"/>
        <w:contextualSpacing w:val="0"/>
        <w:jc w:val="right"/>
        <w:rPr>
          <w:sz w:val="18"/>
          <w:szCs w:val="18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……………………………………………….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[miejscowość, data]</w:t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Pan Marek Niechciał</w:t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Prezes Urzędu Ochrony Konkurencji i Konsumentów</w:t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email: uokik@uokik.gov.pl oraz </w:t>
      </w:r>
      <w:hyperlink r:id="rId5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ddk@uokik.gov.pl</w:t>
        </w:r>
      </w:hyperlink>
      <w:r w:rsidDel="00000000" w:rsidR="00000000" w:rsidRPr="00000000">
        <w:rPr>
          <w:b w:val="1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Do wiadomości otrzymują: KPRM oraz NIK</w:t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email do wiadomości: </w:t>
      </w:r>
      <w:r w:rsidDel="00000000" w:rsidR="00000000" w:rsidRPr="00000000">
        <w:rPr>
          <w:b w:val="1"/>
          <w:sz w:val="21"/>
          <w:szCs w:val="21"/>
          <w:rtl w:val="0"/>
        </w:rPr>
        <w:t xml:space="preserve">sprm@kprm.gov.pl</w:t>
      </w:r>
      <w:r w:rsidDel="00000000" w:rsidR="00000000" w:rsidRPr="00000000">
        <w:rPr>
          <w:b w:val="1"/>
          <w:sz w:val="21"/>
          <w:szCs w:val="21"/>
          <w:rtl w:val="0"/>
        </w:rPr>
        <w:t xml:space="preserve"> oraz nik@nik.gov.pl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Wniosek o udostępnienie informacji publicznej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Szanowny Panie Prezesie.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Artykuł Art. 73a. ust. 1 ustawy o ochronie konkurencji i konsumentów stanowi, co następuje:</w:t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“</w:t>
      </w:r>
      <w:r w:rsidDel="00000000" w:rsidR="00000000" w:rsidRPr="00000000">
        <w:rPr>
          <w:rFonts w:ascii="Trebuchet MS" w:cs="Trebuchet MS" w:eastAsia="Trebuchet MS" w:hAnsi="Trebuchet MS"/>
          <w:i w:val="1"/>
          <w:highlight w:val="white"/>
          <w:rtl w:val="0"/>
        </w:rPr>
        <w:t xml:space="preserve">Jeżeli z informacji zgromadzonych w toku postępowania w sprawie praktyk naruszających zbiorowe interesy konsumentów wynika, że istnieje szczególnie uzasadnione podejrzenie, że przedsiębiorca dopuszcza się praktyki naruszającej zbiorowe interesy konsumentów,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highlight w:val="white"/>
          <w:rtl w:val="0"/>
        </w:rPr>
        <w:t xml:space="preserve">która może spowodować znaczne straty lub niekorzystne skutki dla szerokiego kręgu konsumentów</w:t>
      </w:r>
      <w:r w:rsidDel="00000000" w:rsidR="00000000" w:rsidRPr="00000000">
        <w:rPr>
          <w:rFonts w:ascii="Trebuchet MS" w:cs="Trebuchet MS" w:eastAsia="Trebuchet MS" w:hAnsi="Trebuchet MS"/>
          <w:i w:val="1"/>
          <w:highlight w:val="white"/>
          <w:rtl w:val="0"/>
        </w:rPr>
        <w:t xml:space="preserve">, Prezes Urzędu podaje do publicznej wiadomości, w tym na stronie internetowej Urzędu, zgromadzone w toku postępowania informacje o tym zachowaniu i jego prawdopodobnych skutkach.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”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rebuchet MS" w:cs="Trebuchet MS" w:eastAsia="Trebuchet MS" w:hAnsi="Trebuchet MS"/>
          <w:i w:val="1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ab/>
        <w:t xml:space="preserve">Jednocześnie art. 31c tejże ustawy o ochronie konkurencji i konsumentów stanowi, że “</w:t>
      </w:r>
      <w:r w:rsidDel="00000000" w:rsidR="00000000" w:rsidRPr="00000000">
        <w:rPr>
          <w:rFonts w:ascii="Trebuchet MS" w:cs="Trebuchet MS" w:eastAsia="Trebuchet MS" w:hAnsi="Trebuchet MS"/>
          <w:i w:val="1"/>
          <w:highlight w:val="white"/>
          <w:rtl w:val="0"/>
        </w:rPr>
        <w:t xml:space="preserve">Prezes Urzędu może nieodpłatnie publikować w publicznej radiofonii i telewizji, w formie i czasie uzgodnionymi z właściwą jednostką publicznej radiofonii i telewizji: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highlight w:val="white"/>
          <w:rtl w:val="0"/>
        </w:rPr>
        <w:t xml:space="preserve">1) komunikaty dotyczące zachowań lub zjawisk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highlight w:val="white"/>
          <w:rtl w:val="0"/>
        </w:rPr>
        <w:t xml:space="preserve">mogących stanowić istotne zagrożenie dla interesów konsumentów</w:t>
      </w:r>
      <w:r w:rsidDel="00000000" w:rsidR="00000000" w:rsidRPr="00000000">
        <w:rPr>
          <w:rFonts w:ascii="Trebuchet MS" w:cs="Trebuchet MS" w:eastAsia="Trebuchet MS" w:hAnsi="Trebuchet MS"/>
          <w:i w:val="1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ab/>
        <w:t xml:space="preserve">Z kolei na stronie internetowej UOKiK, pod adresem https://www.uokik.gov.pl/kompetencje_prezesa_uokik3.php czytamy: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c4147"/>
          <w:sz w:val="18"/>
          <w:szCs w:val="18"/>
          <w:highlight w:val="white"/>
          <w:rtl w:val="0"/>
        </w:rPr>
        <w:t xml:space="preserve">“Prezes UOKiK ma także prawo do nieodpłatnego publikowania </w:t>
      </w:r>
      <w:r w:rsidDel="00000000" w:rsidR="00000000" w:rsidRPr="00000000">
        <w:rPr>
          <w:rFonts w:ascii="Verdana" w:cs="Verdana" w:eastAsia="Verdana" w:hAnsi="Verdana"/>
          <w:b w:val="1"/>
          <w:color w:val="3c4147"/>
          <w:sz w:val="18"/>
          <w:szCs w:val="18"/>
          <w:highlight w:val="white"/>
          <w:rtl w:val="0"/>
        </w:rPr>
        <w:t xml:space="preserve">komunikatów </w:t>
      </w:r>
      <w:r w:rsidDel="00000000" w:rsidR="00000000" w:rsidRPr="00000000">
        <w:rPr>
          <w:rFonts w:ascii="Verdana" w:cs="Verdana" w:eastAsia="Verdana" w:hAnsi="Verdana"/>
          <w:color w:val="3c4147"/>
          <w:sz w:val="18"/>
          <w:szCs w:val="18"/>
          <w:highlight w:val="white"/>
          <w:rtl w:val="0"/>
        </w:rPr>
        <w:t xml:space="preserve">w publicznym radiu i telewizji w formie i czasie uzgodnionym z nadawcą oraz podawania do publicznej wiadomości, w tym na stronie internetowej, ostrzeżeń konsumenckich</w:t>
      </w:r>
      <w:r w:rsidDel="00000000" w:rsidR="00000000" w:rsidRPr="00000000">
        <w:rPr>
          <w:rFonts w:ascii="Verdana" w:cs="Verdana" w:eastAsia="Verdana" w:hAnsi="Verdana"/>
          <w:b w:val="1"/>
          <w:color w:val="3c4147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color w:val="3c4147"/>
          <w:sz w:val="18"/>
          <w:szCs w:val="18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Trebuchet MS" w:cs="Trebuchet MS" w:eastAsia="Trebuchet MS" w:hAnsi="Trebuchet MS"/>
            <w:b w:val="1"/>
            <w:color w:val="133c8a"/>
            <w:sz w:val="18"/>
            <w:szCs w:val="18"/>
            <w:highlight w:val="white"/>
            <w:u w:val="single"/>
            <w:rtl w:val="0"/>
          </w:rPr>
          <w:t xml:space="preserve">Ostrzeżenie konsumenckie</w:t>
        </w:r>
      </w:hyperlink>
      <w:r w:rsidDel="00000000" w:rsidR="00000000" w:rsidRPr="00000000">
        <w:rPr>
          <w:rFonts w:ascii="Verdana" w:cs="Verdana" w:eastAsia="Verdana" w:hAnsi="Verdana"/>
          <w:color w:val="3c4147"/>
          <w:sz w:val="18"/>
          <w:szCs w:val="18"/>
          <w:highlight w:val="white"/>
          <w:rtl w:val="0"/>
        </w:rPr>
        <w:t xml:space="preserve"> wydawane jest na podstawie postanowienia Prezesa UOKiK po wszczęciu postępowania w sprawie praktyk naruszających zbiorowe interesy konsumentów, gdy z informacji zgromadzonych w toku postępowania wynika szczególnie uzasadnione podejrzenie, że działanie przedsiębiorcy może powodować znaczne straty lub niekorzystne skutki dla szerokiego kręgu konsumentów.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1"/>
            <w:color w:val="133c8a"/>
            <w:sz w:val="18"/>
            <w:szCs w:val="18"/>
            <w:highlight w:val="white"/>
            <w:u w:val="single"/>
            <w:rtl w:val="0"/>
          </w:rPr>
          <w:t xml:space="preserve">Komunikaty UOKiK</w:t>
        </w:r>
      </w:hyperlink>
      <w:r w:rsidDel="00000000" w:rsidR="00000000" w:rsidRPr="00000000">
        <w:rPr>
          <w:rFonts w:ascii="Verdana" w:cs="Verdana" w:eastAsia="Verdana" w:hAnsi="Verdana"/>
          <w:color w:val="3c4147"/>
          <w:sz w:val="18"/>
          <w:szCs w:val="18"/>
          <w:highlight w:val="white"/>
          <w:rtl w:val="0"/>
        </w:rPr>
        <w:t xml:space="preserve"> dotyczą występujących na rynku niepokojących zachowań lub zjawisk mogących istotnie zagrażać interesom konsumentów.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18"/>
          <w:szCs w:val="18"/>
          <w:highlight w:val="white"/>
          <w:rtl w:val="0"/>
        </w:rPr>
        <w:t xml:space="preserve"> Do ich publikacji nie jest konieczne wszczęcie postępowania w sprawie praktyk naruszających zbiorowe interesy konsumentów.</w:t>
      </w:r>
      <w:r w:rsidDel="00000000" w:rsidR="00000000" w:rsidRPr="00000000">
        <w:rPr>
          <w:rFonts w:ascii="Verdana" w:cs="Verdana" w:eastAsia="Verdana" w:hAnsi="Verdana"/>
          <w:color w:val="3c4147"/>
          <w:sz w:val="18"/>
          <w:szCs w:val="18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W związku z powyższym wnoszę w trybie art. 2 ust. 1 ustawy z dnia 6 września 2001 r. o dostępie do informacji publicznej [Dz. U. Nr 112 poz. 1198, z późn. zm.] o przedstawienie mi przez Pana Prezesa informacji oraz wyjaśnień w następującym zakresie: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rebuchet MS" w:cs="Trebuchet MS" w:eastAsia="Trebuchet MS" w:hAnsi="Trebuchet MS"/>
          <w:highlight w:val="white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daty emisji w mediach publicznych (wraz z podaniem nazwy kanału TV lub stacji radiowej) wszystkich dotychczasowych komunikatów i ostrzeżeń konsumenckich wyemitowanych na zlecenie Prezesa UOKiK, a dotyczących naruszania zbiorowych interesów konsumentów przez banki, które wykonują w sposób sprzeczny z prawem oraz z dobrymi obyczajami umowy o kredyty i pożyczki waloryzowane/denominowane oraz indeksowane “w walucie obcej” (najczęściej CHF).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rebuchet MS" w:cs="Trebuchet MS" w:eastAsia="Trebuchet MS" w:hAnsi="Trebuchet MS"/>
          <w:highlight w:val="white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średnia miesięczna (osobno za rok 2015, 2016 i za 3 pierwsze miesiące roku 2017) liczba odwiedzin strony internetowej UOKiK </w:t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highlight w:val="white"/>
            <w:u w:val="single"/>
            <w:rtl w:val="0"/>
          </w:rPr>
          <w:t xml:space="preserve">https://finanse.uokik.gov.pl/chf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rebuchet MS" w:cs="Trebuchet MS" w:eastAsia="Trebuchet MS" w:hAnsi="Trebuchet MS"/>
          <w:highlight w:val="white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średnia miesięczna (pierwsze 3 miesiące roku 2017) liczba odwiedzin strony internetowej UOKiK https://www.uokik.gov.pl/istotny_poglad_w_sprawie.php</w:t>
        <w:br w:type="textWrapping"/>
      </w:r>
    </w:p>
    <w:p w:rsidR="00000000" w:rsidDel="00000000" w:rsidP="00000000" w:rsidRDefault="00000000" w:rsidRPr="00000000">
      <w:pPr>
        <w:pBdr/>
        <w:ind w:left="0" w:firstLine="72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Jeśli UOKiK w odniesieniu do naruszania zbiorowych interesów konsumentów przez banki wykonujące umowy o kredyty i pożyczki indeksowane/denominowane/waloryzowane nie korzystał do tej pory z uprawnień do emisji w/w komunikatów w mediach publicznych (zwłaszcza że jak można przeczytać nawet na samej stronie internetowej UOKiK -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18"/>
          <w:szCs w:val="18"/>
          <w:highlight w:val="white"/>
          <w:rtl w:val="0"/>
        </w:rPr>
        <w:t xml:space="preserve">Do ich publikacji nie jest konieczne wszczęcie postępowania w sprawie praktyk naruszających zbiorowe interesy konsumentów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)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, to wnoszę o przedstawienie przez Pana Prezesa wyjaśnień, z jakich przyczyn Pan Prezes dotychczas z tych uprawnień nie korzystał dysponując jednocześnie wiedzą o tym, że być może nawet kilka milionów konsumentów (700tys. umów o kredyty i pożyczki “odnoszonych do waluty obcej”, gdzie często kredytobiorców było dwoje lub więcej) może być bezpośrednio dotkniętych zbiorowym naruszaniem ich interesów przez banki wykonujące umowy o kredyty i pożyczki waloryzowane/denominowane/indeksowane z naruszeniem prawa (ze szczególnym uwzględnieniem art. 69 ust. 1 ustawy prawo bankowe) oraz z naruszeniem dobrych obyczajów.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Odpowiedzi na powyższe proszę udzielić na mój adres zamieszkania: ………………….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Z poważaniem,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…………………………………..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sz w:val="18"/>
          <w:szCs w:val="18"/>
          <w:rtl w:val="0"/>
        </w:rPr>
        <w:t xml:space="preserve">[imię, nazwisko, adres zamieszkania]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hyperlink" Target="mailto:ddk@uokik.gov.pl" TargetMode="External"/><Relationship Id="rId6" Type="http://schemas.openxmlformats.org/officeDocument/2006/relationships/hyperlink" Target="https://uokik.gov.pl/faq_ostrzezenia_komunikaty.php" TargetMode="External"/><Relationship Id="rId7" Type="http://schemas.openxmlformats.org/officeDocument/2006/relationships/hyperlink" Target="https://uokik.gov.pl/faq_ostrzezenia_komunikaty.php" TargetMode="External"/><Relationship Id="rId8" Type="http://schemas.openxmlformats.org/officeDocument/2006/relationships/hyperlink" Target="https://finanse.uokik.gov.pl/chf" TargetMode="External"/></Relationships>
</file>